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33.png" ContentType="image/png"/>
  <Override PartName="/word/media/rId165.png" ContentType="image/png"/>
  <Override PartName="/word/media/rId96.png" ContentType="image/png"/>
  <Override PartName="/word/media/rId141.png" ContentType="image/png"/>
  <Override PartName="/word/media/rId145.png" ContentType="image/png"/>
  <Override PartName="/word/media/rId106.png" ContentType="image/png"/>
  <Override PartName="/word/media/rId59.png" ContentType="image/png"/>
  <Override PartName="/word/media/rId63.png" ContentType="image/png"/>
  <Override PartName="/word/media/rId68.png" ContentType="image/png"/>
  <Override PartName="/word/media/rId81.png" ContentType="image/png"/>
  <Override PartName="/word/media/rId73.png" ContentType="image/png"/>
  <Override PartName="/word/media/rId55.png" ContentType="image/png"/>
  <Override PartName="/word/media/rId158.png" ContentType="image/png"/>
  <Override PartName="/word/media/rId136.png" ContentType="image/png"/>
  <Override PartName="/word/media/rId132.png" ContentType="image/png"/>
  <Override PartName="/word/media/rId112.png" ContentType="image/png"/>
  <Override PartName="/word/media/rId120.png" ContentType="image/png"/>
  <Override PartName="/word/media/rId116.png" ContentType="image/png"/>
  <Override PartName="/word/media/rId124.png" ContentType="image/png"/>
  <Override PartName="/word/media/rId128.png" ContentType="image/png"/>
  <Override PartName="/word/media/rId90.png" ContentType="image/png"/>
  <Override PartName="/word/media/rId85.png" ContentType="image/png"/>
  <Override PartName="/word/media/rId153.png" ContentType="image/png"/>
  <Override PartName="/word/media/rId453.png" ContentType="image/png"/>
  <Override PartName="/word/media/rId483.png" ContentType="image/png"/>
  <Override PartName="/word/media/rId458.png" ContentType="image/png"/>
  <Override PartName="/word/media/rId462.png" ContentType="image/png"/>
  <Override PartName="/word/media/rId467.png" ContentType="image/png"/>
  <Override PartName="/word/media/rId472.png" ContentType="image/png"/>
  <Override PartName="/word/media/rId477.png" ContentType="image/png"/>
  <Override PartName="/word/media/rId441.png" ContentType="image/png"/>
  <Override PartName="/word/media/rId487.png" ContentType="image/png"/>
  <Override PartName="/word/media/rId221.png" ContentType="image/png"/>
  <Override PartName="/word/media/rId217.png" ContentType="image/png"/>
  <Override PartName="/word/media/rId421.png" ContentType="image/png"/>
  <Override PartName="/word/media/rId446.png" ContentType="image/png"/>
  <Override PartName="/word/media/rId385.png" ContentType="image/png"/>
  <Override PartName="/word/media/rId389.png" ContentType="image/png"/>
  <Override PartName="/word/media/rId393.png" ContentType="image/png"/>
  <Override PartName="/word/media/rId398.png" ContentType="image/png"/>
  <Override PartName="/word/media/rId405.png" ContentType="image/png"/>
  <Override PartName="/word/media/rId409.png" ContentType="image/png"/>
  <Override PartName="/word/media/rId186.png" ContentType="image/png"/>
  <Override PartName="/word/media/rId239.png" ContentType="image/png"/>
  <Override PartName="/word/media/rId244.png" ContentType="image/png"/>
  <Override PartName="/word/media/rId302.png" ContentType="image/png"/>
  <Override PartName="/word/media/rId311.png" ContentType="image/png"/>
  <Override PartName="/word/media/rId267.png" ContentType="image/png"/>
  <Override PartName="/word/media/rId274.png" ContentType="image/png"/>
  <Override PartName="/word/media/rId281.png" ContentType="image/png"/>
  <Override PartName="/word/media/rId350.png" ContentType="image/png"/>
  <Override PartName="/word/media/rId358.png" ContentType="image/png"/>
  <Override PartName="/word/media/rId254.png" ContentType="image/png"/>
  <Override PartName="/word/media/rId258.png" ContentType="image/png"/>
  <Override PartName="/word/media/rId203.png" ContentType="image/png"/>
  <Override PartName="/word/media/rId226.png" ContentType="image/png"/>
  <Override PartName="/word/media/rId289.png" ContentType="image/png"/>
  <Override PartName="/word/media/rId320.png" ContentType="image/png"/>
  <Override PartName="/word/media/rId297.png" ContentType="image/png"/>
  <Override PartName="/word/media/rId195.png" ContentType="image/png"/>
  <Override PartName="/word/media/rId362.png" ContentType="image/png"/>
  <Override PartName="/word/media/rId212.png" ContentType="image/png"/>
  <Override PartName="/word/media/rId208.png" ContentType="image/png"/>
  <Override PartName="/word/media/rId371.png" ContentType="image/png"/>
  <Override PartName="/word/media/rId367.png" ContentType="image/png"/>
  <Override PartName="/word/media/rId375.png" ContentType="image/png"/>
  <Override PartName="/word/media/rId379.png" ContentType="image/png"/>
  <Override PartName="/word/media/rId431.png" ContentType="image/png"/>
  <Override PartName="/word/media/rId436.png" ContentType="image/png"/>
  <Override PartName="/word/media/rId416.png" ContentType="image/png"/>
  <Override PartName="/word/media/rId191.png" ContentType="image/png"/>
  <Override PartName="/word/media/rId426.png" ContentType="image/png"/>
  <Override PartName="/word/media/rId183.png" ContentType="image/png"/>
  <Override PartName="/word/media/rId347.png" ContentType="image/png"/>
  <Override PartName="/word/media/rId355.png" ContentType="image/png"/>
  <Override PartName="/word/media/rId402.png" ContentType="image/png"/>
  <Override PartName="/word/media/rId200.png" ContentType="image/png"/>
  <Override PartName="/word/media/rId236.png" ContentType="image/png"/>
  <Override PartName="/word/media/rId251.png" ContentType="image/png"/>
  <Override PartName="/word/media/rId264.png" ContentType="image/png"/>
  <Override PartName="/word/media/rId271.png" ContentType="image/png"/>
  <Override PartName="/word/media/rId278.png" ContentType="image/png"/>
  <Override PartName="/word/media/rId286.png" ContentType="image/png"/>
  <Override PartName="/word/media/rId294.png" ContentType="image/png"/>
  <Override PartName="/word/media/rId102.png" ContentType="image/png"/>
  <Override PartName="/word/media/rId149.png" ContentType="image/png"/>
  <Override PartName="/word/media/rId172.jpg" ContentType="image/jpeg"/>
  <Override PartName="/word/media/rId176.jpg" ContentType="image/jpeg"/>
  <Override PartName="/word/media/rId306.png" ContentType="image/png"/>
  <Override PartName="/word/media/rId315.png" ContentType="image/png"/>
  <Override PartName="/word/media/rId24.png" ContentType="image/png"/>
  <Override PartName="/word/media/rId342.png" ContentType="image/png"/>
  <Override PartName="/word/media/rId326.png" ContentType="image/png"/>
  <Override PartName="/word/media/rId330.png" ContentType="image/png"/>
  <Override PartName="/word/media/rId334.png" ContentType="image/png"/>
  <Override PartName="/word/media/rId338.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tulo"/>
      </w:pPr>
      <w:r>
        <w:t xml:space="preserve">Relatório de Performance ATM do SISCEAB - 2025</w:t>
      </w:r>
    </w:p>
    <w:p>
      <w:pPr>
        <w:pStyle w:val="Subttulo"/>
      </w:pPr>
      <w:r>
        <w:t xml:space="preserve">Análise anual do desempenho operacional</w:t>
      </w:r>
    </w:p>
    <w:p>
      <w:pPr>
        <w:pStyle w:val="Author"/>
      </w:pPr>
      <w:r>
        <w:t xml:space="preserve">Comissão de Performance ATM</w:t>
      </w:r>
    </w:p>
    <w:p>
      <w:pPr>
        <w:pStyle w:val="Date"/>
      </w:pPr>
      <w:r>
        <w:t xml:space="preserve">02 de julho de 2026</w:t>
      </w:r>
    </w:p>
    <w:sdt>
      <w:sdtPr>
        <w:docPartObj>
          <w:docPartGallery w:val="Table of Contents"/>
          <w:docPartUnique/>
        </w:docPartObj>
      </w:sdtPr>
      <w:sdtContent>
        <w:p>
          <w:pPr>
            <w:pStyle w:val="CabealhodoSumrio"/>
          </w:pPr>
          <w:r>
            <w:t xml:space="preserve">Sumário</w:t>
          </w:r>
        </w:p>
        <w:p>
          <w:r>
            <w:fldChar w:fldCharType="begin" w:dirty="true"/>
            <w:instrText xml:space="preserve">TOC \o "1-3" \h \z \u</w:instrText>
            <w:fldChar w:fldCharType="separate"/>
            <w:fldChar w:fldCharType="end"/>
          </w:r>
        </w:p>
      </w:sdtContent>
    </w:sdt>
    <w:bookmarkStart w:id="22" w:name="apresentação"/>
    <w:p>
      <w:pPr>
        <w:pStyle w:val="Ttulo1"/>
      </w:pPr>
      <w:r>
        <w:t xml:space="preserve">APRESENTAÇÃO</w:t>
      </w:r>
    </w:p>
    <w:p>
      <w:pPr>
        <w:pStyle w:val="FirstParagraph"/>
      </w:pPr>
      <w:r>
        <w:t xml:space="preserve">Comissão de Performance ATM</w:t>
      </w:r>
    </w:p>
    <w:p>
      <w:pPr>
        <w:pStyle w:val="Corpodetexto"/>
      </w:pPr>
      <w:r>
        <w:t xml:space="preserve">Data de Publicação: 02 de julho de 2026</w:t>
      </w:r>
    </w:p>
    <w:p>
      <w:pPr>
        <w:pStyle w:val="Corpodetexto"/>
      </w:pPr>
      <w:r>
        <w:t xml:space="preserve">Esta versão online apresenta a Performance do Sistema de Controle do Espaço Aéreo Brasileiro.</w:t>
      </w:r>
    </w:p>
    <w:p>
      <w:pPr>
        <w:numPr>
          <w:ilvl w:val="0"/>
          <w:numId w:val="1001"/>
        </w:numPr>
      </w:pPr>
      <w:r>
        <w:rPr>
          <w:b/>
          <w:bCs/>
        </w:rPr>
        <w:t xml:space="preserve">Relatório 2025</w:t>
      </w:r>
      <w:r>
        <w:t xml:space="preserve">: O Relatório de Performance ATM do Sistema de Controle do Espaço Aéreo Brasileiro (SISCEAB) - 2025 sintetiza o conhecimento produzido por meio da Comissão de Performance ATM (CP-ATM), relacionado à gestão por performance das Organizações Regionais do Departamento de Controle do Espaço Aéreo (DECEA), visando comparar, compreender e melhorar a performance dos Serviços de Navegação Aérea (ANS).</w:t>
      </w:r>
    </w:p>
    <w:p>
      <w:pPr>
        <w:numPr>
          <w:ilvl w:val="0"/>
          <w:numId w:val="1001"/>
        </w:numPr>
      </w:pPr>
      <w:r>
        <w:rPr>
          <w:b/>
          <w:bCs/>
        </w:rPr>
        <w:t xml:space="preserve">Objetivo</w:t>
      </w:r>
      <w:r>
        <w:t xml:space="preserve">: Apresentar uma visão geral da performance do SISCEAB, considerando os dados do ano de 2025, possibilitando uma análise gerencial macro do Sistema, bem como por Organização Regional do DECEA.</w:t>
      </w:r>
    </w:p>
    <w:p>
      <w:pPr>
        <w:numPr>
          <w:ilvl w:val="0"/>
          <w:numId w:val="1001"/>
        </w:numPr>
      </w:pPr>
      <w:r>
        <w:rPr>
          <w:b/>
          <w:bCs/>
        </w:rPr>
        <w:t xml:space="preserve">Aviso de Direitos Autorais</w:t>
      </w:r>
      <w:r>
        <w:t xml:space="preserve">: Todos os esforços possíveis foram realizados para garantir que as informações e análises contidas neste documento sejam precisas e completas. Eventuais erros ou inconsistências que sejam encontrados devem ser encaminhados à Seção de Gestão de Performance do Subdepartamento de Operações (SDOP) do DECEA, por meio do telefone (21) 2101-6477. Este documento pode ser copiado total ou parcialmente, desde que o aviso de direitos autorais e a isenção de responsabilidade sejam incluídos. As informações não podem ser modificadas sem permissão prévia por escrito do DECEA. Este é um relatório comparativo com dados coletados de diferentes sistemas ATM. A coleta desses dados está se consolidando e evoluindo a cada ano, de forma que as informações contidas neste documento não incumbem o DECEA de qualquer responsabilidade legal pela exatidão, integridade ou utilidade desta informação.</w:t>
      </w:r>
    </w:p>
    <w:p>
      <w:pPr>
        <w:pStyle w:val="FirstParagraph"/>
      </w:pPr>
      <w:r>
        <w:rPr>
          <w:i/>
          <w:iCs/>
        </w:rPr>
        <w:t xml:space="preserve">Seção de Performance, DECEA</w:t>
      </w:r>
    </w:p>
    <w:p>
      <w:pPr>
        <w:pStyle w:val="Corpodetexto"/>
      </w:pPr>
      <w:r>
        <w:rPr>
          <w:i/>
          <w:iCs/>
        </w:rPr>
        <w:t xml:space="preserve">Comissão de Performance ATM, DECEA</w:t>
      </w:r>
    </w:p>
    <w:p>
      <w:pPr>
        <w:pStyle w:val="Corpodetexto"/>
      </w:pPr>
      <w:hyperlink r:id="rId20">
        <w:r>
          <w:rPr>
            <w:rStyle w:val="Hyperlink"/>
          </w:rPr>
          <w:t xml:space="preserve">📥 Baixar versão em PDF</w:t>
        </w:r>
      </w:hyperlink>
    </w:p>
    <w:p>
      <w:pPr>
        <w:pStyle w:val="Corpodetexto"/>
      </w:pPr>
      <w:hyperlink r:id="rId21">
        <w:r>
          <w:rPr>
            <w:rStyle w:val="Hyperlink"/>
          </w:rPr>
          <w:t xml:space="preserve">📥 Baixar versão em Word</w:t>
        </w:r>
      </w:hyperlink>
    </w:p>
    <w:bookmarkEnd w:id="22"/>
    <w:bookmarkStart w:id="34" w:name="sumário-executivo-e-recomendações"/>
    <w:p>
      <w:pPr>
        <w:pStyle w:val="Ttulo1"/>
      </w:pPr>
      <w:r>
        <w:t xml:space="preserve">SUMÁRIO EXECUTIVO E RECOMENDAÇÕES</w:t>
      </w:r>
    </w:p>
    <w:p>
      <w:pPr>
        <w:pStyle w:val="FirstParagraph"/>
      </w:pPr>
      <w:r>
        <w:t xml:space="preserve">A indústria do transporte aéreo no Brasil manteve trajetória de crescimento ao longo de 2025, superando em 3,1 pontos percentuais as projeções mais otimistas. Destaca-se, nesse contexto, a aviação comercial internacional, que apresentou um crescimento médio anual superior a 14%, refletindo uma expansão sustentada da demanda por conectividade aérea.</w:t>
      </w:r>
    </w:p>
    <w:p>
      <w:pPr>
        <w:pStyle w:val="Corpodetexto"/>
      </w:pPr>
      <w:r>
        <w:t xml:space="preserve">A Comissão de Performance ATM (CP-ATM), estabelecida pelo PCA 100-3,</w:t>
      </w:r>
      <w:r>
        <w:t xml:space="preserve"> </w:t>
      </w:r>
      <w:r>
        <w:t xml:space="preserve">“Plano de Performance ATM do DECEA”</w:t>
      </w:r>
      <w:r>
        <w:t xml:space="preserve">, é encarregada da gestão de performance no âmbito do Sistema de Controle do Espaço Aéreo Brasileiro (SISCEAB) e produziu de forma colaborativa este relatório de performance, referente a 2025, utilizando métricas e definições normatizadas segundo o PCA 100-3 e o MCA 100-22,</w:t>
      </w:r>
      <w:r>
        <w:t xml:space="preserve"> </w:t>
      </w:r>
      <w:r>
        <w:t xml:space="preserve">“Metodologia de Indicadores ATM do SISCEAB”</w:t>
      </w:r>
      <w:r>
        <w:t xml:space="preserve">, para comparar, entender e melhorar a performance dos Serviços de Navegação Aérea (ANS) prestados pelas diversas organizações e entidades no âmbito do SISCEAB.</w:t>
      </w:r>
    </w:p>
    <w:p>
      <w:pPr>
        <w:pStyle w:val="Corpodetexto"/>
      </w:pPr>
      <w:r>
        <w:t xml:space="preserve">Os dados e informações utilizados para a confecção deste Relatório, formalmente emitido anualmente, são continuamente atualizados, monitorados e disponibilizados no portal de Performance do SISCEAB no sítio eletrônico</w:t>
      </w:r>
      <w:r>
        <w:t xml:space="preserve"> </w:t>
      </w:r>
      <w:hyperlink r:id="rId23">
        <w:r>
          <w:rPr>
            <w:rStyle w:val="Hyperlink"/>
          </w:rPr>
          <w:t xml:space="preserve">(</w:t>
        </w:r>
        <w:r>
          <w:rPr>
            <w:rStyle w:val="Hyperlink"/>
            <w:i/>
            <w:iCs/>
          </w:rPr>
          <w:t xml:space="preserve">https://performance.decea.mil.br</w:t>
        </w:r>
        <w:r>
          <w:rPr>
            <w:rStyle w:val="Hyperlink"/>
          </w:rPr>
          <w:t xml:space="preserve">)</w:t>
        </w:r>
      </w:hyperlink>
      <w:r>
        <w:t xml:space="preserve">, além dos demais produtos de performance publicados pelo DECEA.</w:t>
      </w:r>
    </w:p>
    <w:p>
      <w:pPr>
        <w:pStyle w:val="Corpodetexto"/>
      </w:pPr>
      <w:r>
        <w:t xml:space="preserve">As boas práticas e lições aprendidas, identificadas por meio das análises realizadas pela CP-ATM, são compartilhadas com todos os</w:t>
      </w:r>
      <w:r>
        <w:t xml:space="preserve"> </w:t>
      </w:r>
      <w:r>
        <w:rPr>
          <w:i/>
          <w:iCs/>
        </w:rPr>
        <w:t xml:space="preserve">stakeholders</w:t>
      </w:r>
      <w:r>
        <w:t xml:space="preserve"> </w:t>
      </w:r>
      <w:r>
        <w:t xml:space="preserve">envolvidos no desenvolvimento de novos indicadores e produtos, bem como na evolução do sistema de Gerenciamento de Tráfego Aéreo (ATM) nacional.</w:t>
      </w:r>
    </w:p>
    <w:p>
      <w:pPr>
        <w:pStyle w:val="Corpodetexto"/>
      </w:pPr>
      <w:r>
        <w:t xml:space="preserve">Este documento está organizado em cinco capítulos e dois anexos.</w:t>
      </w:r>
    </w:p>
    <w:p>
      <w:pPr>
        <w:pStyle w:val="Corpodetexto"/>
      </w:pPr>
      <w:r>
        <w:t xml:space="preserve">No primeiro capítulo, aborda-se a gestão orientada por performance, apresentando-se um breve histórico do Plano Global de Navegação Aérea da OACI (GANP) e das denominadas</w:t>
      </w:r>
      <w:r>
        <w:t xml:space="preserve"> </w:t>
      </w:r>
      <w:r>
        <w:t xml:space="preserve">“ambições de performance”</w:t>
      </w:r>
      <w:r>
        <w:t xml:space="preserve">. Adicionalmente, são descritas a abrangência do estudo e as principais fontes de dados utilizadas.</w:t>
      </w:r>
    </w:p>
    <w:p>
      <w:pPr>
        <w:pStyle w:val="Corpodetexto"/>
      </w:pPr>
      <w:r>
        <w:t xml:space="preserve">O segundo capítulo apresenta as características do SISCEAB, ressaltando como os serviços de navegação aérea são organizados e fazendo uma comparação geral das organizações componentes desse Sistema. Além disso, inclui informações sobre a demanda nacional por segmento da aviação (comercial doméstica e internacional, aviação geral e militar), o ranking dos cem aeroportos mais movimentados, o movimento de tráfego aéreo por área de responsabilidade de cada uma das Organizações Regionais do DECEA, as rotas mais voadas pela aviação comercial, a densidade do tráfego aéreo, bem como a composição da frota de aeronaves no país. São também abordados aspectos como a previsão quinquenal de demanda (nacional e por FIR), questões relacionadas aos controladores de tráfego aéreo (efetivo e nível de proficiência em língua inglesa), além da influência das condições meteorológicas nos aeroportos e um resumo dos principais projetos em andamento no SISCEAB.</w:t>
      </w:r>
    </w:p>
    <w:p>
      <w:pPr>
        <w:pStyle w:val="Corpodetexto"/>
      </w:pPr>
      <w:r>
        <w:t xml:space="preserve">No terceiro capítulo são apresentados os resultados dos indicadores de performance ATM monitorados pelo DECEA, observando as metas publicadas no PCA 100-3.</w:t>
      </w:r>
    </w:p>
    <w:p>
      <w:pPr>
        <w:pStyle w:val="Corpodetexto"/>
      </w:pPr>
      <w:r>
        <w:t xml:space="preserve">O quarto capítulo aponta as conclusões dos estudos realizados e as oportunidades de melhoria a serem exploradas no âmbito do SISCEAB.</w:t>
      </w:r>
    </w:p>
    <w:p>
      <w:pPr>
        <w:pStyle w:val="Corpodetexto"/>
      </w:pPr>
      <w:r>
        <w:t xml:space="preserve">No quinto capítulo são listadas as referências utilizadas para o desenvolvimento do trabalho.</w:t>
      </w:r>
    </w:p>
    <w:p>
      <w:pPr>
        <w:pStyle w:val="Corpodetexto"/>
      </w:pPr>
      <w:r>
        <w:t xml:space="preserve">O Anexo A detalha as Organizações Regionais do DECEA com seus órgãos ATS (Centros de Controle de Área - ACC, Controles de Aproximação - APP, Torres de Controle de Aeródromo - TWR e Estações de Telecomunicações Aeronáuticas - Rádios).</w:t>
      </w:r>
    </w:p>
    <w:p>
      <w:pPr>
        <w:pStyle w:val="Corpodetexto"/>
      </w:pPr>
      <w:r>
        <w:t xml:space="preserve">Por fim, no Anexo B são apresentados siglas, acrônimos e abreviaturas.</w:t>
      </w:r>
    </w:p>
    <w:p>
      <w:pPr>
        <w:pStyle w:val="Corpodetexto"/>
      </w:pPr>
      <w:r>
        <w:t xml:space="preserve">Em síntese, o objetivo do Relatório de Performance ATM é fornecer uma visão geral da performance do SISCEAB, considerando os dados atualizados até 31 de dezembro de 2025, consolidando informações úteis ao gerenciamento desse sistema.</w:t>
      </w:r>
    </w:p>
    <w:tbl>
      <w:tblPr>
        <w:tblStyle w:val="Table"/>
        <w:tblW w:type="pct" w:w="5000"/>
        <w:tblLayout w:type="fixed"/>
        <w:tblLook w:firstRow="0" w:lastRow="0" w:firstColumn="0" w:lastColumn="0" w:noHBand="0" w:noVBand="0" w:val="0000"/>
      </w:tblPr>
      <w:tblGrid>
        <w:gridCol w:w="7920"/>
      </w:tblGrid>
      <w:tr>
        <w:tc>
          <w:tcPr/>
          <w:bookmarkStart w:id="27" w:name="fig-area-sisceab"/>
          <w:p>
            <w:pPr>
              <w:pStyle w:val="Compact"/>
              <w:jc w:val="center"/>
            </w:pPr>
            <w:r>
              <w:drawing>
                <wp:inline>
                  <wp:extent cx="5977890" cy="5011416"/>
                  <wp:effectExtent b="0" l="0" r="0" t="0"/>
                  <wp:docPr descr="" title="" id="25" name="Picture"/>
                  <a:graphic>
                    <a:graphicData uri="http://schemas.openxmlformats.org/drawingml/2006/picture">
                      <pic:pic>
                        <pic:nvPicPr>
                          <pic:cNvPr descr="imagens/FIG-1-SUMARIO.png" id="26" name="Picture"/>
                          <pic:cNvPicPr>
                            <a:picLocks noChangeArrowheads="1" noChangeAspect="1"/>
                          </pic:cNvPicPr>
                        </pic:nvPicPr>
                        <pic:blipFill>
                          <a:blip r:embed="rId24"/>
                          <a:stretch>
                            <a:fillRect/>
                          </a:stretch>
                        </pic:blipFill>
                        <pic:spPr bwMode="auto">
                          <a:xfrm>
                            <a:off x="0" y="0"/>
                            <a:ext cx="5977890" cy="5011416"/>
                          </a:xfrm>
                          <a:prstGeom prst="rect">
                            <a:avLst/>
                          </a:prstGeom>
                          <a:noFill/>
                          <a:ln w="9525">
                            <a:noFill/>
                            <a:headEnd/>
                            <a:tailEnd/>
                          </a:ln>
                        </pic:spPr>
                      </pic:pic>
                    </a:graphicData>
                  </a:graphic>
                </wp:inline>
              </w:drawing>
            </w:r>
          </w:p>
          <w:p>
            <w:pPr>
              <w:jc w:val="center"/>
            </w:pPr>
            <w:pPr>
              <w:jc w:val="left"/>
              <w:spacing w:before="200"/>
              <w:pStyle w:val="ImageCaption"/>
            </w:pPr>
            <w:r>
              <w:t xml:space="preserve">Figura 1: Área do SISCEAB</w:t>
            </w:r>
          </w:p>
          <w:bookmarkEnd w:id="27"/>
        </w:tc>
      </w:tr>
    </w:tbl>
    <w:p>
      <w:pPr>
        <w:pStyle w:val="Corpodetexto"/>
      </w:pPr>
      <w:r>
        <w:t xml:space="preserve">O Primeiro Centro Integrado de Defesa Aérea e Controle de Tráfego Aéreo (CINDACTA I) gerencia a Região de Informação de Voo Brasília (FIR-BS), que com os seus 1,2 milhão de km2, possui a menor área dentre as cinco FIR do Brasil. Apesar disso, é a que apresentou o maior movimento de tráfego aéreo, com 646.258 voos, abarcando em seu efetivo 981 Controladores de Tráfego Aéreo (ATCO), o maior número entre as Organizações Regionais do DECEA.</w:t>
      </w:r>
    </w:p>
    <w:p>
      <w:pPr>
        <w:pStyle w:val="Corpodetexto"/>
      </w:pPr>
      <w:r>
        <w:t xml:space="preserve">O Segundo Centro Integrado de Defesa Aérea e Controle de Tráfego Aéreo (CINDACTA II) possui a maior quantidade de serviços de informação de voo de aeródromo (AFIS) dentre os Regionais do DECEA, 23 AFIS. Apresenta o segundo maior efetivo de ATCO do SISCEAB, com 902 ATCO, bem como o segundo maior movimento de tráfego aéreo entre as FIR, com um total de 492.068.</w:t>
      </w:r>
    </w:p>
    <w:p>
      <w:pPr>
        <w:pStyle w:val="Corpodetexto"/>
      </w:pPr>
      <w:r>
        <w:t xml:space="preserve">O Terceiro Centro Integrado de Defesa Aérea e Controle de Tráfego Aéreo (CINDACTA III) é a única Organização Regional que possui sob sua responsabilidade duas FIR, as Regiões de Informação de Voo Recife (FIR-RE) e Atlântico (FIR-AO) - esta, correspondente ao espaço aéreo oceânico.</w:t>
      </w:r>
    </w:p>
    <w:p>
      <w:pPr>
        <w:pStyle w:val="Corpodetexto"/>
      </w:pPr>
      <w:r>
        <w:t xml:space="preserve">O Quarto Centro Integrado de Defesa Aérea e Controle de Tráfego Aéreo (CINDACTA IV) tem a maior área continental entre as FIR brasileiras, com 4,9 milhões de km2, englobando o maior número de fronteiras terrestres. Com 626 ATCO sob sua gestão, foi o Regional com o melhor índice de operacionalidade (IDBR08): 89,5%.</w:t>
      </w:r>
    </w:p>
    <w:p>
      <w:pPr>
        <w:pStyle w:val="Corpodetexto"/>
      </w:pPr>
      <w:r>
        <w:t xml:space="preserve">O Centro Regional de Controle do Espaço Aéreo Sudeste (CRCEA-SE) é o responsável pelas duas principais Áreas de Controle Terminal (TMA) do Brasil. As TMA São Paulo (TMA-SP) e Rio de Janeiro (TMA-RJ), nesta ordem, foram as de maior movimento de tráfego aéreo em 2025. Nesse sentido, o CRCEA-SE tem a maior densidade de tráfego aéreo dentre as Organizações Regionais do DECEA, isto é, a maior concentração de voos por km2 no SISCEAB.</w:t>
      </w:r>
    </w:p>
    <w:tbl>
      <w:tblPr>
        <w:tblStyle w:val="Table"/>
        <w:tblW w:type="pct" w:w="5000"/>
        <w:tblLayout w:type="fixed"/>
        <w:tblLook w:firstRow="0" w:lastRow="0" w:firstColumn="0" w:lastColumn="0" w:noHBand="0" w:noVBand="0" w:val="0000"/>
      </w:tblPr>
      <w:tblGrid>
        <w:gridCol w:w="7920"/>
      </w:tblGrid>
      <w:tr>
        <w:tc>
          <w:tcPr/>
          <w:bookmarkStart w:id="28" w:name="tbl-sumario-A"/>
          <w:p>
            <w:pPr>
              <w:jc w:val="center"/>
            </w:pPr>
            <w:pPr>
              <w:jc w:val="left"/>
              <w:spacing w:before="200"/>
              <w:pStyle w:val="ImageCaption"/>
            </w:pPr>
            <w:r>
              <w:t xml:space="preserve">Tabela 1: Classificação dos Órgão ATC</w:t>
            </w:r>
          </w:p>
          <w:tbl>
            <w:tblPr>
              <w:tblStyle w:val="Table"/>
              <w:tblW w:type="pct" w:w="5000"/>
              <w:tblLayout w:type="fixed"/>
              <w:tblLook w:firstRow="1" w:lastRow="0" w:firstColumn="0" w:lastColumn="0" w:noHBand="0" w:noVBand="0" w:val="0020"/>
            </w:tblPr>
            <w:tblGrid>
              <w:gridCol w:w="1017"/>
              <w:gridCol w:w="871"/>
              <w:gridCol w:w="363"/>
              <w:gridCol w:w="363"/>
              <w:gridCol w:w="363"/>
              <w:gridCol w:w="508"/>
              <w:gridCol w:w="435"/>
              <w:gridCol w:w="581"/>
              <w:gridCol w:w="726"/>
              <w:gridCol w:w="871"/>
              <w:gridCol w:w="871"/>
              <w:gridCol w:w="944"/>
            </w:tblGrid>
            <w:tr>
              <w:trPr>
                <w:tblHeader w:val="on"/>
              </w:trPr>
              <w:tc>
                <w:tcPr/>
                <w:p>
                  <w:pPr>
                    <w:pStyle w:val="Compact"/>
                    <w:jc w:val="center"/>
                    <w:jc w:val="center"/>
                  </w:pPr>
                  <w:r>
                    <w:t xml:space="preserve">ORGAO</w:t>
                  </w:r>
                </w:p>
              </w:tc>
              <w:tc>
                <w:tcPr/>
                <w:p>
                  <w:pPr>
                    <w:pStyle w:val="Compact"/>
                    <w:jc w:val="center"/>
                    <w:jc w:val="center"/>
                  </w:pPr>
                  <w:r>
                    <w:t xml:space="preserve">AREA</w:t>
                  </w:r>
                </w:p>
              </w:tc>
              <w:tc>
                <w:tcPr/>
                <w:p>
                  <w:pPr>
                    <w:pStyle w:val="Compact"/>
                    <w:jc w:val="center"/>
                    <w:jc w:val="center"/>
                  </w:pPr>
                  <w:r>
                    <w:t xml:space="preserve">ACC</w:t>
                  </w:r>
                </w:p>
              </w:tc>
              <w:tc>
                <w:tcPr/>
                <w:p>
                  <w:pPr>
                    <w:pStyle w:val="Compact"/>
                    <w:jc w:val="center"/>
                    <w:jc w:val="center"/>
                  </w:pPr>
                  <w:r>
                    <w:t xml:space="preserve">APP</w:t>
                  </w:r>
                </w:p>
              </w:tc>
              <w:tc>
                <w:tcPr/>
                <w:p>
                  <w:pPr>
                    <w:pStyle w:val="Compact"/>
                    <w:jc w:val="center"/>
                    <w:jc w:val="center"/>
                  </w:pPr>
                  <w:r>
                    <w:t xml:space="preserve">TWR</w:t>
                  </w:r>
                </w:p>
              </w:tc>
              <w:tc>
                <w:tcPr/>
                <w:p>
                  <w:pPr>
                    <w:pStyle w:val="Compact"/>
                    <w:jc w:val="center"/>
                    <w:jc w:val="center"/>
                  </w:pPr>
                  <w:r>
                    <w:t xml:space="preserve">D TWR</w:t>
                  </w:r>
                </w:p>
              </w:tc>
              <w:tc>
                <w:tcPr/>
                <w:p>
                  <w:pPr>
                    <w:pStyle w:val="Compact"/>
                    <w:jc w:val="center"/>
                    <w:jc w:val="center"/>
                  </w:pPr>
                  <w:r>
                    <w:t xml:space="preserve">AFIS</w:t>
                  </w:r>
                </w:p>
              </w:tc>
              <w:tc>
                <w:tcPr/>
                <w:p>
                  <w:pPr>
                    <w:pStyle w:val="Compact"/>
                    <w:jc w:val="center"/>
                    <w:jc w:val="center"/>
                  </w:pPr>
                  <w:r>
                    <w:t xml:space="preserve">R AFIS</w:t>
                  </w:r>
                </w:p>
              </w:tc>
              <w:tc>
                <w:tcPr/>
                <w:p>
                  <w:pPr>
                    <w:pStyle w:val="Compact"/>
                    <w:jc w:val="center"/>
                    <w:jc w:val="center"/>
                  </w:pPr>
                  <w:r>
                    <w:t xml:space="preserve">AD TOTAL</w:t>
                  </w:r>
                </w:p>
              </w:tc>
              <w:tc>
                <w:tcPr/>
                <w:p>
                  <w:pPr>
                    <w:pStyle w:val="Compact"/>
                    <w:jc w:val="center"/>
                    <w:jc w:val="center"/>
                  </w:pPr>
                  <w:r>
                    <w:t xml:space="preserve">AD PUBLICO</w:t>
                  </w:r>
                </w:p>
              </w:tc>
              <w:tc>
                <w:tcPr/>
                <w:p>
                  <w:pPr>
                    <w:pStyle w:val="Compact"/>
                    <w:jc w:val="center"/>
                    <w:jc w:val="center"/>
                  </w:pPr>
                  <w:r>
                    <w:t xml:space="preserve">AD PRIVADO</w:t>
                  </w:r>
                </w:p>
              </w:tc>
              <w:tc>
                <w:tcPr/>
                <w:p>
                  <w:pPr>
                    <w:pStyle w:val="Compact"/>
                    <w:jc w:val="center"/>
                    <w:jc w:val="center"/>
                  </w:pPr>
                  <w:r>
                    <w:t xml:space="preserve">NUMERO ATCO</w:t>
                  </w:r>
                </w:p>
              </w:tc>
            </w:tr>
            <w:tr>
              <w:tc>
                <w:tcPr/>
                <w:p>
                  <w:pPr>
                    <w:pStyle w:val="Compact"/>
                    <w:jc w:val="center"/>
                    <w:jc w:val="center"/>
                  </w:pPr>
                  <w:r>
                    <w:t xml:space="preserve">SISCEAB</w:t>
                  </w:r>
                </w:p>
              </w:tc>
              <w:tc>
                <w:tcPr/>
                <w:p>
                  <w:pPr>
                    <w:pStyle w:val="Compact"/>
                    <w:jc w:val="center"/>
                    <w:jc w:val="center"/>
                  </w:pPr>
                  <w:r>
                    <w:t xml:space="preserve">22.300.000</w:t>
                  </w:r>
                </w:p>
              </w:tc>
              <w:tc>
                <w:tcPr/>
                <w:p>
                  <w:pPr>
                    <w:pStyle w:val="Compact"/>
                    <w:jc w:val="center"/>
                    <w:jc w:val="center"/>
                  </w:pPr>
                  <w:r>
                    <w:t xml:space="preserve">5</w:t>
                  </w:r>
                </w:p>
              </w:tc>
              <w:tc>
                <w:tcPr/>
                <w:p>
                  <w:pPr>
                    <w:pStyle w:val="Compact"/>
                    <w:jc w:val="center"/>
                    <w:jc w:val="center"/>
                  </w:pPr>
                  <w:r>
                    <w:t xml:space="preserve">41</w:t>
                  </w:r>
                </w:p>
              </w:tc>
              <w:tc>
                <w:tcPr/>
                <w:p>
                  <w:pPr>
                    <w:pStyle w:val="Compact"/>
                    <w:jc w:val="center"/>
                    <w:jc w:val="center"/>
                  </w:pPr>
                  <w:r>
                    <w:t xml:space="preserve">56</w:t>
                  </w:r>
                </w:p>
              </w:tc>
              <w:tc>
                <w:tcPr/>
                <w:p>
                  <w:pPr>
                    <w:pStyle w:val="Compact"/>
                    <w:jc w:val="center"/>
                    <w:jc w:val="center"/>
                  </w:pPr>
                  <w:r>
                    <w:t xml:space="preserve">1</w:t>
                  </w:r>
                </w:p>
              </w:tc>
              <w:tc>
                <w:tcPr/>
                <w:p>
                  <w:pPr>
                    <w:pStyle w:val="Compact"/>
                    <w:jc w:val="center"/>
                    <w:jc w:val="center"/>
                  </w:pPr>
                  <w:r>
                    <w:t xml:space="preserve">72</w:t>
                  </w:r>
                </w:p>
              </w:tc>
              <w:tc>
                <w:tcPr/>
                <w:p>
                  <w:pPr>
                    <w:pStyle w:val="Compact"/>
                    <w:jc w:val="center"/>
                    <w:jc w:val="center"/>
                  </w:pPr>
                  <w:r>
                    <w:t xml:space="preserve">10</w:t>
                  </w:r>
                </w:p>
              </w:tc>
              <w:tc>
                <w:tcPr/>
                <w:p>
                  <w:pPr>
                    <w:pStyle w:val="Compact"/>
                    <w:jc w:val="center"/>
                    <w:jc w:val="center"/>
                  </w:pPr>
                  <w:r>
                    <w:t xml:space="preserve">4343</w:t>
                  </w:r>
                </w:p>
              </w:tc>
              <w:tc>
                <w:tcPr/>
                <w:p>
                  <w:pPr>
                    <w:pStyle w:val="Compact"/>
                    <w:jc w:val="center"/>
                    <w:jc w:val="center"/>
                  </w:pPr>
                  <w:r>
                    <w:t xml:space="preserve">505</w:t>
                  </w:r>
                </w:p>
              </w:tc>
              <w:tc>
                <w:tcPr/>
                <w:p>
                  <w:pPr>
                    <w:pStyle w:val="Compact"/>
                    <w:jc w:val="center"/>
                    <w:jc w:val="center"/>
                  </w:pPr>
                  <w:r>
                    <w:t xml:space="preserve">3838</w:t>
                  </w:r>
                </w:p>
              </w:tc>
              <w:tc>
                <w:tcPr/>
                <w:p>
                  <w:pPr>
                    <w:pStyle w:val="Compact"/>
                    <w:jc w:val="center"/>
                    <w:jc w:val="center"/>
                  </w:pPr>
                  <w:r>
                    <w:t xml:space="preserve">4099</w:t>
                  </w:r>
                </w:p>
              </w:tc>
            </w:tr>
            <w:tr>
              <w:tc>
                <w:tcPr/>
                <w:p>
                  <w:pPr>
                    <w:pStyle w:val="Compact"/>
                    <w:jc w:val="center"/>
                    <w:jc w:val="center"/>
                  </w:pPr>
                  <w:r>
                    <w:t xml:space="preserve">CINDACTA I</w:t>
                  </w:r>
                </w:p>
              </w:tc>
              <w:tc>
                <w:tcPr/>
                <w:p>
                  <w:pPr>
                    <w:pStyle w:val="Compact"/>
                    <w:jc w:val="center"/>
                    <w:jc w:val="center"/>
                  </w:pPr>
                  <w:r>
                    <w:t xml:space="preserve">1.300.000</w:t>
                  </w:r>
                </w:p>
              </w:tc>
              <w:tc>
                <w:tcPr/>
                <w:p>
                  <w:pPr>
                    <w:pStyle w:val="Compact"/>
                    <w:jc w:val="center"/>
                    <w:jc w:val="center"/>
                  </w:pPr>
                  <w:r>
                    <w:t xml:space="preserve">1</w:t>
                  </w:r>
                </w:p>
              </w:tc>
              <w:tc>
                <w:tcPr/>
                <w:p>
                  <w:pPr>
                    <w:pStyle w:val="Compact"/>
                    <w:jc w:val="center"/>
                    <w:jc w:val="center"/>
                  </w:pPr>
                  <w:r>
                    <w:t xml:space="preserve">9</w:t>
                  </w:r>
                </w:p>
              </w:tc>
              <w:tc>
                <w:tcPr/>
                <w:p>
                  <w:pPr>
                    <w:pStyle w:val="Compact"/>
                    <w:jc w:val="center"/>
                    <w:jc w:val="center"/>
                  </w:pPr>
                  <w:r>
                    <w:t xml:space="preserve">10</w:t>
                  </w:r>
                </w:p>
              </w:tc>
              <w:tc>
                <w:tcPr/>
                <w:p>
                  <w:pPr>
                    <w:pStyle w:val="Compact"/>
                    <w:jc w:val="center"/>
                    <w:jc w:val="center"/>
                  </w:pPr>
                  <w:r>
                    <w:t xml:space="preserve">0</w:t>
                  </w:r>
                </w:p>
              </w:tc>
              <w:tc>
                <w:tcPr/>
                <w:p>
                  <w:pPr>
                    <w:pStyle w:val="Compact"/>
                    <w:jc w:val="center"/>
                    <w:jc w:val="center"/>
                  </w:pPr>
                  <w:r>
                    <w:t xml:space="preserve">15</w:t>
                  </w:r>
                </w:p>
              </w:tc>
              <w:tc>
                <w:tcPr/>
                <w:p>
                  <w:pPr>
                    <w:pStyle w:val="Compact"/>
                    <w:jc w:val="center"/>
                    <w:jc w:val="center"/>
                  </w:pPr>
                  <w:r>
                    <w:t xml:space="preserve">1</w:t>
                  </w:r>
                </w:p>
              </w:tc>
              <w:tc>
                <w:tcPr/>
                <w:p>
                  <w:pPr>
                    <w:pStyle w:val="Compact"/>
                    <w:jc w:val="center"/>
                    <w:jc w:val="center"/>
                  </w:pPr>
                  <w:r>
                    <w:t xml:space="preserve">977</w:t>
                  </w:r>
                </w:p>
              </w:tc>
              <w:tc>
                <w:tcPr/>
                <w:p>
                  <w:pPr>
                    <w:pStyle w:val="Compact"/>
                    <w:jc w:val="center"/>
                    <w:jc w:val="center"/>
                  </w:pPr>
                  <w:r>
                    <w:t xml:space="preserve">128</w:t>
                  </w:r>
                </w:p>
              </w:tc>
              <w:tc>
                <w:tcPr/>
                <w:p>
                  <w:pPr>
                    <w:pStyle w:val="Compact"/>
                    <w:jc w:val="center"/>
                    <w:jc w:val="center"/>
                  </w:pPr>
                  <w:r>
                    <w:t xml:space="preserve">849</w:t>
                  </w:r>
                </w:p>
              </w:tc>
              <w:tc>
                <w:tcPr/>
                <w:p>
                  <w:pPr>
                    <w:pStyle w:val="Compact"/>
                    <w:jc w:val="center"/>
                    <w:jc w:val="center"/>
                  </w:pPr>
                  <w:r>
                    <w:t xml:space="preserve">981</w:t>
                  </w:r>
                </w:p>
              </w:tc>
            </w:tr>
            <w:tr>
              <w:tc>
                <w:tcPr/>
                <w:p>
                  <w:pPr>
                    <w:pStyle w:val="Compact"/>
                    <w:jc w:val="center"/>
                    <w:jc w:val="center"/>
                  </w:pPr>
                  <w:r>
                    <w:t xml:space="preserve">CINDACTA II</w:t>
                  </w:r>
                </w:p>
              </w:tc>
              <w:tc>
                <w:tcPr/>
                <w:p>
                  <w:pPr>
                    <w:pStyle w:val="Compact"/>
                    <w:jc w:val="center"/>
                    <w:jc w:val="center"/>
                  </w:pPr>
                  <w:r>
                    <w:t xml:space="preserve">1.700.000</w:t>
                  </w:r>
                </w:p>
              </w:tc>
              <w:tc>
                <w:tcPr/>
                <w:p>
                  <w:pPr>
                    <w:pStyle w:val="Compact"/>
                    <w:jc w:val="center"/>
                    <w:jc w:val="center"/>
                  </w:pPr>
                  <w:r>
                    <w:t xml:space="preserve">1</w:t>
                  </w:r>
                </w:p>
              </w:tc>
              <w:tc>
                <w:tcPr/>
                <w:p>
                  <w:pPr>
                    <w:pStyle w:val="Compact"/>
                    <w:jc w:val="center"/>
                    <w:jc w:val="center"/>
                  </w:pPr>
                  <w:r>
                    <w:t xml:space="preserve">9</w:t>
                  </w:r>
                </w:p>
              </w:tc>
              <w:tc>
                <w:tcPr/>
                <w:p>
                  <w:pPr>
                    <w:pStyle w:val="Compact"/>
                    <w:jc w:val="center"/>
                    <w:jc w:val="center"/>
                  </w:pPr>
                  <w:r>
                    <w:t xml:space="preserve">13</w:t>
                  </w:r>
                </w:p>
              </w:tc>
              <w:tc>
                <w:tcPr/>
                <w:p>
                  <w:pPr>
                    <w:pStyle w:val="Compact"/>
                    <w:jc w:val="center"/>
                    <w:jc w:val="center"/>
                  </w:pPr>
                  <w:r>
                    <w:t xml:space="preserve">0</w:t>
                  </w:r>
                </w:p>
              </w:tc>
              <w:tc>
                <w:tcPr/>
                <w:p>
                  <w:pPr>
                    <w:pStyle w:val="Compact"/>
                    <w:jc w:val="center"/>
                    <w:jc w:val="center"/>
                  </w:pPr>
                  <w:r>
                    <w:t xml:space="preserve">23</w:t>
                  </w:r>
                </w:p>
              </w:tc>
              <w:tc>
                <w:tcPr/>
                <w:p>
                  <w:pPr>
                    <w:pStyle w:val="Compact"/>
                    <w:jc w:val="center"/>
                    <w:jc w:val="center"/>
                  </w:pPr>
                  <w:r>
                    <w:t xml:space="preserve">2</w:t>
                  </w:r>
                </w:p>
              </w:tc>
              <w:tc>
                <w:tcPr/>
                <w:p>
                  <w:pPr>
                    <w:pStyle w:val="Compact"/>
                    <w:jc w:val="center"/>
                    <w:jc w:val="center"/>
                  </w:pPr>
                  <w:r>
                    <w:t xml:space="preserve">1086</w:t>
                  </w:r>
                </w:p>
              </w:tc>
              <w:tc>
                <w:tcPr/>
                <w:p>
                  <w:pPr>
                    <w:pStyle w:val="Compact"/>
                    <w:jc w:val="center"/>
                    <w:jc w:val="center"/>
                  </w:pPr>
                  <w:r>
                    <w:t xml:space="preserve">158</w:t>
                  </w:r>
                </w:p>
              </w:tc>
              <w:tc>
                <w:tcPr/>
                <w:p>
                  <w:pPr>
                    <w:pStyle w:val="Compact"/>
                    <w:jc w:val="center"/>
                    <w:jc w:val="center"/>
                  </w:pPr>
                  <w:r>
                    <w:t xml:space="preserve">928</w:t>
                  </w:r>
                </w:p>
              </w:tc>
              <w:tc>
                <w:tcPr/>
                <w:p>
                  <w:pPr>
                    <w:pStyle w:val="Compact"/>
                    <w:jc w:val="center"/>
                    <w:jc w:val="center"/>
                  </w:pPr>
                  <w:r>
                    <w:t xml:space="preserve">902</w:t>
                  </w:r>
                </w:p>
              </w:tc>
            </w:tr>
            <w:tr>
              <w:tc>
                <w:tcPr/>
                <w:p>
                  <w:pPr>
                    <w:pStyle w:val="Compact"/>
                    <w:jc w:val="center"/>
                    <w:jc w:val="center"/>
                  </w:pPr>
                  <w:r>
                    <w:t xml:space="preserve">CINDACTA III</w:t>
                  </w:r>
                </w:p>
              </w:tc>
              <w:tc>
                <w:tcPr/>
                <w:p>
                  <w:pPr>
                    <w:pStyle w:val="Compact"/>
                    <w:jc w:val="center"/>
                    <w:jc w:val="center"/>
                  </w:pPr>
                  <w:r>
                    <w:t xml:space="preserve">14.400.000</w:t>
                  </w:r>
                </w:p>
              </w:tc>
              <w:tc>
                <w:tcPr/>
                <w:p>
                  <w:pPr>
                    <w:pStyle w:val="Compact"/>
                    <w:jc w:val="center"/>
                    <w:jc w:val="center"/>
                  </w:pPr>
                  <w:r>
                    <w:t xml:space="preserve">2</w:t>
                  </w:r>
                </w:p>
              </w:tc>
              <w:tc>
                <w:tcPr/>
                <w:p>
                  <w:pPr>
                    <w:pStyle w:val="Compact"/>
                    <w:jc w:val="center"/>
                    <w:jc w:val="center"/>
                  </w:pPr>
                  <w:r>
                    <w:t xml:space="preserve">11</w:t>
                  </w:r>
                </w:p>
              </w:tc>
              <w:tc>
                <w:tcPr/>
                <w:p>
                  <w:pPr>
                    <w:pStyle w:val="Compact"/>
                    <w:jc w:val="center"/>
                    <w:jc w:val="center"/>
                  </w:pPr>
                  <w:r>
                    <w:t xml:space="preserve">12</w:t>
                  </w:r>
                </w:p>
              </w:tc>
              <w:tc>
                <w:tcPr/>
                <w:p>
                  <w:pPr>
                    <w:pStyle w:val="Compact"/>
                    <w:jc w:val="center"/>
                    <w:jc w:val="center"/>
                  </w:pPr>
                  <w:r>
                    <w:t xml:space="preserve">0</w:t>
                  </w:r>
                </w:p>
              </w:tc>
              <w:tc>
                <w:tcPr/>
                <w:p>
                  <w:pPr>
                    <w:pStyle w:val="Compact"/>
                    <w:jc w:val="center"/>
                    <w:jc w:val="center"/>
                  </w:pPr>
                  <w:r>
                    <w:t xml:space="preserve">13</w:t>
                  </w:r>
                </w:p>
              </w:tc>
              <w:tc>
                <w:tcPr/>
                <w:p>
                  <w:pPr>
                    <w:pStyle w:val="Compact"/>
                    <w:jc w:val="center"/>
                    <w:jc w:val="center"/>
                  </w:pPr>
                  <w:r>
                    <w:t xml:space="preserve">1</w:t>
                  </w:r>
                </w:p>
              </w:tc>
              <w:tc>
                <w:tcPr/>
                <w:p>
                  <w:pPr>
                    <w:pStyle w:val="Compact"/>
                    <w:jc w:val="center"/>
                    <w:jc w:val="center"/>
                  </w:pPr>
                  <w:r>
                    <w:t xml:space="preserve">556</w:t>
                  </w:r>
                </w:p>
              </w:tc>
              <w:tc>
                <w:tcPr/>
                <w:p>
                  <w:pPr>
                    <w:pStyle w:val="Compact"/>
                    <w:jc w:val="center"/>
                    <w:jc w:val="center"/>
                  </w:pPr>
                  <w:r>
                    <w:t xml:space="preserve">100</w:t>
                  </w:r>
                </w:p>
              </w:tc>
              <w:tc>
                <w:tcPr/>
                <w:p>
                  <w:pPr>
                    <w:pStyle w:val="Compact"/>
                    <w:jc w:val="center"/>
                    <w:jc w:val="center"/>
                  </w:pPr>
                  <w:r>
                    <w:t xml:space="preserve">456</w:t>
                  </w:r>
                </w:p>
              </w:tc>
              <w:tc>
                <w:tcPr/>
                <w:p>
                  <w:pPr>
                    <w:pStyle w:val="Compact"/>
                    <w:jc w:val="center"/>
                    <w:jc w:val="center"/>
                  </w:pPr>
                  <w:r>
                    <w:t xml:space="preserve">824</w:t>
                  </w:r>
                </w:p>
              </w:tc>
            </w:tr>
            <w:tr>
              <w:tc>
                <w:tcPr/>
                <w:p>
                  <w:pPr>
                    <w:pStyle w:val="Compact"/>
                    <w:jc w:val="center"/>
                    <w:jc w:val="center"/>
                  </w:pPr>
                  <w:r>
                    <w:t xml:space="preserve">CINDACTA IV</w:t>
                  </w:r>
                </w:p>
              </w:tc>
              <w:tc>
                <w:tcPr/>
                <w:p>
                  <w:pPr>
                    <w:pStyle w:val="Compact"/>
                    <w:jc w:val="center"/>
                    <w:jc w:val="center"/>
                  </w:pPr>
                  <w:r>
                    <w:t xml:space="preserve">4.900.000</w:t>
                  </w:r>
                </w:p>
              </w:tc>
              <w:tc>
                <w:tcPr/>
                <w:p>
                  <w:pPr>
                    <w:pStyle w:val="Compact"/>
                    <w:jc w:val="center"/>
                    <w:jc w:val="center"/>
                  </w:pPr>
                  <w:r>
                    <w:t xml:space="preserve">1</w:t>
                  </w:r>
                </w:p>
              </w:tc>
              <w:tc>
                <w:tcPr/>
                <w:p>
                  <w:pPr>
                    <w:pStyle w:val="Compact"/>
                    <w:jc w:val="center"/>
                    <w:jc w:val="center"/>
                  </w:pPr>
                  <w:r>
                    <w:t xml:space="preserve">8</w:t>
                  </w:r>
                </w:p>
              </w:tc>
              <w:tc>
                <w:tcPr/>
                <w:p>
                  <w:pPr>
                    <w:pStyle w:val="Compact"/>
                    <w:jc w:val="center"/>
                    <w:jc w:val="center"/>
                  </w:pPr>
                  <w:r>
                    <w:t xml:space="preserve">8</w:t>
                  </w:r>
                </w:p>
              </w:tc>
              <w:tc>
                <w:tcPr/>
                <w:p>
                  <w:pPr>
                    <w:pStyle w:val="Compact"/>
                    <w:jc w:val="center"/>
                    <w:jc w:val="center"/>
                  </w:pPr>
                  <w:r>
                    <w:t xml:space="preserve">0</w:t>
                  </w:r>
                </w:p>
              </w:tc>
              <w:tc>
                <w:tcPr/>
                <w:p>
                  <w:pPr>
                    <w:pStyle w:val="Compact"/>
                    <w:jc w:val="center"/>
                    <w:jc w:val="center"/>
                  </w:pPr>
                  <w:r>
                    <w:t xml:space="preserve">14</w:t>
                  </w:r>
                </w:p>
              </w:tc>
              <w:tc>
                <w:tcPr/>
                <w:p>
                  <w:pPr>
                    <w:pStyle w:val="Compact"/>
                    <w:jc w:val="center"/>
                    <w:jc w:val="center"/>
                  </w:pPr>
                  <w:r>
                    <w:t xml:space="preserve">6</w:t>
                  </w:r>
                </w:p>
              </w:tc>
              <w:tc>
                <w:tcPr/>
                <w:p>
                  <w:pPr>
                    <w:pStyle w:val="Compact"/>
                    <w:jc w:val="center"/>
                    <w:jc w:val="center"/>
                  </w:pPr>
                  <w:r>
                    <w:t xml:space="preserve">1665</w:t>
                  </w:r>
                </w:p>
              </w:tc>
              <w:tc>
                <w:tcPr/>
                <w:p>
                  <w:pPr>
                    <w:pStyle w:val="Compact"/>
                    <w:jc w:val="center"/>
                    <w:jc w:val="center"/>
                  </w:pPr>
                  <w:r>
                    <w:t xml:space="preserve">91</w:t>
                  </w:r>
                </w:p>
              </w:tc>
              <w:tc>
                <w:tcPr/>
                <w:p>
                  <w:pPr>
                    <w:pStyle w:val="Compact"/>
                    <w:jc w:val="center"/>
                    <w:jc w:val="center"/>
                  </w:pPr>
                  <w:r>
                    <w:t xml:space="preserve">1574</w:t>
                  </w:r>
                </w:p>
              </w:tc>
              <w:tc>
                <w:tcPr/>
                <w:p>
                  <w:pPr>
                    <w:pStyle w:val="Compact"/>
                    <w:jc w:val="center"/>
                    <w:jc w:val="center"/>
                  </w:pPr>
                  <w:r>
                    <w:t xml:space="preserve">641</w:t>
                  </w:r>
                </w:p>
              </w:tc>
            </w:tr>
            <w:tr>
              <w:tc>
                <w:tcPr/>
                <w:p>
                  <w:pPr>
                    <w:pStyle w:val="Compact"/>
                    <w:jc w:val="center"/>
                    <w:jc w:val="center"/>
                  </w:pPr>
                  <w:r>
                    <w:t xml:space="preserve">CRCEA-SE</w:t>
                  </w:r>
                </w:p>
              </w:tc>
              <w:tc>
                <w:tcPr/>
                <w:p>
                  <w:pPr>
                    <w:pStyle w:val="Compact"/>
                    <w:jc w:val="center"/>
                    <w:jc w:val="center"/>
                  </w:pPr>
                  <w:r>
                    <w:t xml:space="preserve">100.000</w:t>
                  </w:r>
                </w:p>
              </w:tc>
              <w:tc>
                <w:tcPr/>
                <w:p>
                  <w:pPr>
                    <w:pStyle w:val="Compact"/>
                    <w:jc w:val="center"/>
                    <w:jc w:val="center"/>
                  </w:pPr>
                  <w:r>
                    <w:t xml:space="preserve">0</w:t>
                  </w:r>
                </w:p>
              </w:tc>
              <w:tc>
                <w:tcPr/>
                <w:p>
                  <w:pPr>
                    <w:pStyle w:val="Compact"/>
                    <w:jc w:val="center"/>
                    <w:jc w:val="center"/>
                  </w:pPr>
                  <w:r>
                    <w:t xml:space="preserve">4</w:t>
                  </w:r>
                </w:p>
              </w:tc>
              <w:tc>
                <w:tcPr/>
                <w:p>
                  <w:pPr>
                    <w:pStyle w:val="Compact"/>
                    <w:jc w:val="center"/>
                    <w:jc w:val="center"/>
                  </w:pPr>
                  <w:r>
                    <w:t xml:space="preserve">13</w:t>
                  </w:r>
                </w:p>
              </w:tc>
              <w:tc>
                <w:tcPr/>
                <w:p>
                  <w:pPr>
                    <w:pStyle w:val="Compact"/>
                    <w:jc w:val="center"/>
                    <w:jc w:val="center"/>
                  </w:pPr>
                  <w:r>
                    <w:t xml:space="preserve">1</w:t>
                  </w:r>
                </w:p>
              </w:tc>
              <w:tc>
                <w:tcPr/>
                <w:p>
                  <w:pPr>
                    <w:pStyle w:val="Compact"/>
                    <w:jc w:val="center"/>
                    <w:jc w:val="center"/>
                  </w:pPr>
                  <w:r>
                    <w:t xml:space="preserve">7</w:t>
                  </w:r>
                </w:p>
              </w:tc>
              <w:tc>
                <w:tcPr/>
                <w:p>
                  <w:pPr>
                    <w:pStyle w:val="Compact"/>
                    <w:jc w:val="center"/>
                    <w:jc w:val="center"/>
                  </w:pPr>
                  <w:r>
                    <w:t xml:space="preserve">0</w:t>
                  </w:r>
                </w:p>
              </w:tc>
              <w:tc>
                <w:tcPr/>
                <w:p>
                  <w:pPr>
                    <w:pStyle w:val="Compact"/>
                    <w:jc w:val="center"/>
                    <w:jc w:val="center"/>
                  </w:pPr>
                  <w:r>
                    <w:t xml:space="preserve">59</w:t>
                  </w:r>
                </w:p>
              </w:tc>
              <w:tc>
                <w:tcPr/>
                <w:p>
                  <w:pPr>
                    <w:pStyle w:val="Compact"/>
                    <w:jc w:val="center"/>
                    <w:jc w:val="center"/>
                  </w:pPr>
                  <w:r>
                    <w:t xml:space="preserve">28</w:t>
                  </w:r>
                </w:p>
              </w:tc>
              <w:tc>
                <w:tcPr/>
                <w:p>
                  <w:pPr>
                    <w:pStyle w:val="Compact"/>
                    <w:jc w:val="center"/>
                    <w:jc w:val="center"/>
                  </w:pPr>
                  <w:r>
                    <w:t xml:space="preserve">31</w:t>
                  </w:r>
                </w:p>
              </w:tc>
              <w:tc>
                <w:tcPr/>
                <w:p>
                  <w:pPr>
                    <w:pStyle w:val="Compact"/>
                    <w:jc w:val="center"/>
                    <w:jc w:val="center"/>
                  </w:pPr>
                  <w:r>
                    <w:t xml:space="preserve">751</w:t>
                  </w:r>
                </w:p>
              </w:tc>
            </w:tr>
          </w:tbl>
          <w:bookmarkEnd w:id="28"/>
          <w:p/>
        </w:tc>
      </w:tr>
    </w:tbl>
    <w:p>
      <w:pPr>
        <w:pStyle w:val="Corpodetexto"/>
      </w:pPr>
      <w:r>
        <w:t xml:space="preserve"> </w:t>
      </w:r>
    </w:p>
    <w:tbl>
      <w:tblPr>
        <w:tblStyle w:val="Table"/>
        <w:tblW w:type="pct" w:w="5000"/>
        <w:tblLayout w:type="fixed"/>
        <w:tblLook w:firstRow="0" w:lastRow="0" w:firstColumn="0" w:lastColumn="0" w:noHBand="0" w:noVBand="0" w:val="0000"/>
      </w:tblPr>
      <w:tblGrid>
        <w:gridCol w:w="7920"/>
      </w:tblGrid>
      <w:tr>
        <w:tc>
          <w:tcPr/>
          <w:bookmarkStart w:id="29" w:name="tbl-sumario-B"/>
          <w:p>
            <w:pPr>
              <w:jc w:val="center"/>
            </w:pPr>
            <w:pPr>
              <w:jc w:val="left"/>
              <w:spacing w:before="200"/>
              <w:pStyle w:val="ImageCaption"/>
            </w:pPr>
            <w:r>
              <w:t xml:space="preserve">Tabela 2: Classificação dos Órgão ATC</w:t>
            </w:r>
          </w:p>
          <w:tbl>
            <w:tblPr>
              <w:tblStyle w:val="Table"/>
              <w:tblW w:type="pct" w:w="5000"/>
              <w:tblLayout w:type="fixed"/>
              <w:tblLook w:firstRow="1" w:lastRow="0" w:firstColumn="0" w:lastColumn="0" w:noHBand="0" w:noVBand="0" w:val="0020"/>
            </w:tblPr>
            <w:tblGrid>
              <w:gridCol w:w="1143"/>
              <w:gridCol w:w="1714"/>
              <w:gridCol w:w="1388"/>
              <w:gridCol w:w="1224"/>
              <w:gridCol w:w="1143"/>
              <w:gridCol w:w="1306"/>
            </w:tblGrid>
            <w:tr>
              <w:trPr>
                <w:tblHeader w:val="on"/>
              </w:trPr>
              <w:tc>
                <w:tcPr/>
                <w:p>
                  <w:pPr>
                    <w:pStyle w:val="Compact"/>
                    <w:jc w:val="center"/>
                    <w:jc w:val="center"/>
                  </w:pPr>
                  <w:r>
                    <w:t xml:space="preserve">ORGAO</w:t>
                  </w:r>
                </w:p>
              </w:tc>
              <w:tc>
                <w:tcPr/>
                <w:p>
                  <w:pPr>
                    <w:pStyle w:val="Compact"/>
                    <w:jc w:val="center"/>
                    <w:jc w:val="center"/>
                  </w:pPr>
                  <w:r>
                    <w:t xml:space="preserve">AD MAIS MOVIMENTADO</w:t>
                  </w:r>
                </w:p>
              </w:tc>
              <w:tc>
                <w:tcPr/>
                <w:p>
                  <w:pPr>
                    <w:pStyle w:val="Compact"/>
                    <w:jc w:val="center"/>
                    <w:jc w:val="center"/>
                  </w:pPr>
                  <w:r>
                    <w:t xml:space="preserve">MOVIMENTO ANUAL</w:t>
                  </w:r>
                </w:p>
              </w:tc>
              <w:tc>
                <w:tcPr/>
                <w:p>
                  <w:pPr>
                    <w:pStyle w:val="Compact"/>
                    <w:jc w:val="center"/>
                    <w:jc w:val="center"/>
                  </w:pPr>
                  <w:r>
                    <w:t xml:space="preserve">DIA MOVIMENTO</w:t>
                  </w:r>
                </w:p>
              </w:tc>
              <w:tc>
                <w:tcPr/>
                <w:p>
                  <w:pPr>
                    <w:pStyle w:val="Compact"/>
                    <w:jc w:val="center"/>
                    <w:jc w:val="center"/>
                  </w:pPr>
                  <w:r>
                    <w:t xml:space="preserve">DIA SEMANA</w:t>
                  </w:r>
                </w:p>
              </w:tc>
              <w:tc>
                <w:tcPr/>
                <w:p>
                  <w:pPr>
                    <w:pStyle w:val="Compact"/>
                    <w:jc w:val="center"/>
                    <w:jc w:val="center"/>
                  </w:pPr>
                  <w:r>
                    <w:t xml:space="preserve">MOVIMENTO PICO</w:t>
                  </w:r>
                </w:p>
              </w:tc>
            </w:tr>
            <w:tr>
              <w:tc>
                <w:tcPr/>
                <w:p>
                  <w:pPr>
                    <w:pStyle w:val="Compact"/>
                    <w:jc w:val="center"/>
                    <w:jc w:val="center"/>
                  </w:pPr>
                  <w:r>
                    <w:t xml:space="preserve">SISCEAB</w:t>
                  </w:r>
                </w:p>
              </w:tc>
              <w:tc>
                <w:tcPr/>
                <w:p>
                  <w:pPr>
                    <w:pStyle w:val="Compact"/>
                    <w:jc w:val="center"/>
                    <w:jc w:val="center"/>
                  </w:pPr>
                  <w:r>
                    <w:t xml:space="preserve">SBGR</w:t>
                  </w:r>
                </w:p>
              </w:tc>
              <w:tc>
                <w:tcPr/>
                <w:p>
                  <w:pPr>
                    <w:pStyle w:val="Compact"/>
                    <w:jc w:val="center"/>
                    <w:jc w:val="center"/>
                  </w:pPr>
                  <w:r>
                    <w:t xml:space="preserve">306225</w:t>
                  </w:r>
                </w:p>
              </w:tc>
              <w:tc>
                <w:tcPr/>
                <w:p>
                  <w:pPr>
                    <w:pStyle w:val="Compact"/>
                    <w:jc w:val="center"/>
                    <w:jc w:val="center"/>
                  </w:pPr>
                  <w:r>
                    <w:t xml:space="preserve">05/12/2025</w:t>
                  </w:r>
                </w:p>
              </w:tc>
              <w:tc>
                <w:tcPr/>
                <w:p>
                  <w:pPr>
                    <w:pStyle w:val="Compact"/>
                    <w:jc w:val="center"/>
                    <w:jc w:val="center"/>
                  </w:pPr>
                  <w:r>
                    <w:t xml:space="preserve">SEXTA-FEIRA</w:t>
                  </w:r>
                </w:p>
              </w:tc>
              <w:tc>
                <w:tcPr/>
                <w:p>
                  <w:pPr>
                    <w:pStyle w:val="Compact"/>
                    <w:jc w:val="center"/>
                    <w:jc w:val="center"/>
                  </w:pPr>
                  <w:r>
                    <w:t xml:space="preserve">919</w:t>
                  </w:r>
                </w:p>
              </w:tc>
            </w:tr>
            <w:tr>
              <w:tc>
                <w:tcPr/>
                <w:p>
                  <w:pPr>
                    <w:pStyle w:val="Compact"/>
                    <w:jc w:val="center"/>
                    <w:jc w:val="center"/>
                  </w:pPr>
                  <w:r>
                    <w:t xml:space="preserve">CINDACTA I</w:t>
                  </w:r>
                </w:p>
              </w:tc>
              <w:tc>
                <w:tcPr/>
                <w:p>
                  <w:pPr>
                    <w:pStyle w:val="Compact"/>
                    <w:jc w:val="center"/>
                    <w:jc w:val="center"/>
                  </w:pPr>
                  <w:r>
                    <w:t xml:space="preserve">SBBR</w:t>
                  </w:r>
                </w:p>
              </w:tc>
              <w:tc>
                <w:tcPr/>
                <w:p>
                  <w:pPr>
                    <w:pStyle w:val="Compact"/>
                    <w:jc w:val="center"/>
                    <w:jc w:val="center"/>
                  </w:pPr>
                  <w:r>
                    <w:t xml:space="preserve">157135</w:t>
                  </w:r>
                </w:p>
              </w:tc>
              <w:tc>
                <w:tcPr/>
                <w:p>
                  <w:pPr>
                    <w:pStyle w:val="Compact"/>
                    <w:jc w:val="center"/>
                    <w:jc w:val="center"/>
                  </w:pPr>
                  <w:r>
                    <w:t xml:space="preserve">3/12/2025</w:t>
                  </w:r>
                </w:p>
              </w:tc>
              <w:tc>
                <w:tcPr/>
                <w:p>
                  <w:pPr>
                    <w:pStyle w:val="Compact"/>
                    <w:jc w:val="center"/>
                    <w:jc w:val="center"/>
                  </w:pPr>
                  <w:r>
                    <w:t xml:space="preserve">SEXTA-FEIRA</w:t>
                  </w:r>
                </w:p>
              </w:tc>
              <w:tc>
                <w:tcPr/>
                <w:p>
                  <w:pPr>
                    <w:pStyle w:val="Compact"/>
                    <w:jc w:val="center"/>
                    <w:jc w:val="center"/>
                  </w:pPr>
                  <w:r>
                    <w:t xml:space="preserve">557</w:t>
                  </w:r>
                </w:p>
              </w:tc>
            </w:tr>
            <w:tr>
              <w:tc>
                <w:tcPr/>
                <w:p>
                  <w:pPr>
                    <w:pStyle w:val="Compact"/>
                    <w:jc w:val="center"/>
                    <w:jc w:val="center"/>
                  </w:pPr>
                  <w:r>
                    <w:t xml:space="preserve">CINDACTA II</w:t>
                  </w:r>
                </w:p>
              </w:tc>
              <w:tc>
                <w:tcPr/>
                <w:p>
                  <w:pPr>
                    <w:pStyle w:val="Compact"/>
                    <w:jc w:val="center"/>
                    <w:jc w:val="center"/>
                  </w:pPr>
                  <w:r>
                    <w:t xml:space="preserve">SBPA</w:t>
                  </w:r>
                </w:p>
              </w:tc>
              <w:tc>
                <w:tcPr/>
                <w:p>
                  <w:pPr>
                    <w:pStyle w:val="Compact"/>
                    <w:jc w:val="center"/>
                    <w:jc w:val="center"/>
                  </w:pPr>
                  <w:r>
                    <w:t xml:space="preserve">67365</w:t>
                  </w:r>
                </w:p>
              </w:tc>
              <w:tc>
                <w:tcPr/>
                <w:p>
                  <w:pPr>
                    <w:pStyle w:val="Compact"/>
                    <w:jc w:val="center"/>
                    <w:jc w:val="center"/>
                  </w:pPr>
                  <w:r>
                    <w:t xml:space="preserve">4/12/2025</w:t>
                  </w:r>
                </w:p>
              </w:tc>
              <w:tc>
                <w:tcPr/>
                <w:p>
                  <w:pPr>
                    <w:pStyle w:val="Compact"/>
                    <w:jc w:val="center"/>
                    <w:jc w:val="center"/>
                  </w:pPr>
                  <w:r>
                    <w:t xml:space="preserve">QUINTA-FEIRA</w:t>
                  </w:r>
                </w:p>
              </w:tc>
              <w:tc>
                <w:tcPr/>
                <w:p>
                  <w:pPr>
                    <w:pStyle w:val="Compact"/>
                    <w:jc w:val="center"/>
                    <w:jc w:val="center"/>
                  </w:pPr>
                  <w:r>
                    <w:t xml:space="preserve">238</w:t>
                  </w:r>
                </w:p>
              </w:tc>
            </w:tr>
            <w:tr>
              <w:tc>
                <w:tcPr/>
                <w:p>
                  <w:pPr>
                    <w:pStyle w:val="Compact"/>
                    <w:jc w:val="center"/>
                    <w:jc w:val="center"/>
                  </w:pPr>
                  <w:r>
                    <w:t xml:space="preserve">CINDACTA III</w:t>
                  </w:r>
                </w:p>
              </w:tc>
              <w:tc>
                <w:tcPr/>
                <w:p>
                  <w:pPr>
                    <w:pStyle w:val="Compact"/>
                    <w:jc w:val="center"/>
                    <w:jc w:val="center"/>
                  </w:pPr>
                  <w:r>
                    <w:t xml:space="preserve">SBRF</w:t>
                  </w:r>
                </w:p>
              </w:tc>
              <w:tc>
                <w:tcPr/>
                <w:p>
                  <w:pPr>
                    <w:pStyle w:val="Compact"/>
                    <w:jc w:val="center"/>
                    <w:jc w:val="center"/>
                  </w:pPr>
                  <w:r>
                    <w:t xml:space="preserve">84865</w:t>
                  </w:r>
                </w:p>
              </w:tc>
              <w:tc>
                <w:tcPr/>
                <w:p>
                  <w:pPr>
                    <w:pStyle w:val="Compact"/>
                    <w:jc w:val="center"/>
                    <w:jc w:val="center"/>
                  </w:pPr>
                  <w:r>
                    <w:t xml:space="preserve">27/12/2025</w:t>
                  </w:r>
                </w:p>
              </w:tc>
              <w:tc>
                <w:tcPr/>
                <w:p>
                  <w:pPr>
                    <w:pStyle w:val="Compact"/>
                    <w:jc w:val="center"/>
                    <w:jc w:val="center"/>
                  </w:pPr>
                  <w:r>
                    <w:t xml:space="preserve">SÁBADO</w:t>
                  </w:r>
                </w:p>
              </w:tc>
              <w:tc>
                <w:tcPr/>
                <w:p>
                  <w:pPr>
                    <w:pStyle w:val="Compact"/>
                    <w:jc w:val="center"/>
                    <w:jc w:val="center"/>
                  </w:pPr>
                  <w:r>
                    <w:t xml:space="preserve">293</w:t>
                  </w:r>
                </w:p>
              </w:tc>
            </w:tr>
            <w:tr>
              <w:tc>
                <w:tcPr/>
                <w:p>
                  <w:pPr>
                    <w:pStyle w:val="Compact"/>
                    <w:jc w:val="center"/>
                    <w:jc w:val="center"/>
                  </w:pPr>
                  <w:r>
                    <w:t xml:space="preserve">CINDACTA IV</w:t>
                  </w:r>
                </w:p>
              </w:tc>
              <w:tc>
                <w:tcPr/>
                <w:p>
                  <w:pPr>
                    <w:pStyle w:val="Compact"/>
                    <w:jc w:val="center"/>
                    <w:jc w:val="center"/>
                  </w:pPr>
                  <w:r>
                    <w:t xml:space="preserve">SBBE</w:t>
                  </w:r>
                </w:p>
              </w:tc>
              <w:tc>
                <w:tcPr/>
                <w:p>
                  <w:pPr>
                    <w:pStyle w:val="Compact"/>
                    <w:jc w:val="center"/>
                    <w:jc w:val="center"/>
                  </w:pPr>
                  <w:r>
                    <w:t xml:space="preserve">56601</w:t>
                  </w:r>
                </w:p>
              </w:tc>
              <w:tc>
                <w:tcPr/>
                <w:p>
                  <w:pPr>
                    <w:pStyle w:val="Compact"/>
                    <w:jc w:val="center"/>
                    <w:jc w:val="center"/>
                  </w:pPr>
                  <w:r>
                    <w:t xml:space="preserve">23/12/2025</w:t>
                  </w:r>
                </w:p>
              </w:tc>
              <w:tc>
                <w:tcPr/>
                <w:p>
                  <w:pPr>
                    <w:pStyle w:val="Compact"/>
                    <w:jc w:val="center"/>
                    <w:jc w:val="center"/>
                  </w:pPr>
                  <w:r>
                    <w:t xml:space="preserve">SEXTA-FEIRA</w:t>
                  </w:r>
                </w:p>
              </w:tc>
              <w:tc>
                <w:tcPr/>
                <w:p>
                  <w:pPr>
                    <w:pStyle w:val="Compact"/>
                    <w:jc w:val="center"/>
                    <w:jc w:val="center"/>
                  </w:pPr>
                  <w:r>
                    <w:t xml:space="preserve">186</w:t>
                  </w:r>
                </w:p>
              </w:tc>
            </w:tr>
            <w:tr>
              <w:tc>
                <w:tcPr/>
                <w:p>
                  <w:pPr>
                    <w:pStyle w:val="Compact"/>
                    <w:jc w:val="center"/>
                    <w:jc w:val="center"/>
                  </w:pPr>
                  <w:r>
                    <w:t xml:space="preserve">CRCEA-SE</w:t>
                  </w:r>
                </w:p>
              </w:tc>
              <w:tc>
                <w:tcPr/>
                <w:p>
                  <w:pPr>
                    <w:pStyle w:val="Compact"/>
                    <w:jc w:val="center"/>
                    <w:jc w:val="center"/>
                  </w:pPr>
                  <w:r>
                    <w:t xml:space="preserve">SBGR</w:t>
                  </w:r>
                </w:p>
              </w:tc>
              <w:tc>
                <w:tcPr/>
                <w:p>
                  <w:pPr>
                    <w:pStyle w:val="Compact"/>
                    <w:jc w:val="center"/>
                    <w:jc w:val="center"/>
                  </w:pPr>
                  <w:r>
                    <w:t xml:space="preserve">306225</w:t>
                  </w:r>
                </w:p>
              </w:tc>
              <w:tc>
                <w:tcPr/>
                <w:p>
                  <w:pPr>
                    <w:pStyle w:val="Compact"/>
                    <w:jc w:val="center"/>
                    <w:jc w:val="center"/>
                  </w:pPr>
                  <w:r>
                    <w:t xml:space="preserve">05/12/2025</w:t>
                  </w:r>
                </w:p>
              </w:tc>
              <w:tc>
                <w:tcPr/>
                <w:p>
                  <w:pPr>
                    <w:pStyle w:val="Compact"/>
                    <w:jc w:val="center"/>
                    <w:jc w:val="center"/>
                  </w:pPr>
                  <w:r>
                    <w:t xml:space="preserve">SEXTA-FEIRA</w:t>
                  </w:r>
                </w:p>
              </w:tc>
              <w:tc>
                <w:tcPr/>
                <w:p>
                  <w:pPr>
                    <w:pStyle w:val="Compact"/>
                    <w:jc w:val="center"/>
                    <w:jc w:val="center"/>
                  </w:pPr>
                  <w:r>
                    <w:t xml:space="preserve">919</w:t>
                  </w:r>
                </w:p>
              </w:tc>
            </w:tr>
          </w:tbl>
          <w:bookmarkEnd w:id="29"/>
          <w:p/>
        </w:tc>
      </w:tr>
    </w:tbl>
    <w:p>
      <w:pPr>
        <w:pStyle w:val="Corpodetexto"/>
      </w:pPr>
      <w:r>
        <w:t xml:space="preserve">Ainda no que se refere à área de responsabilidade do CRCEA-SE, o Aeroporto Internacional de São Paulo / Guarulhos continua sendo o aeroporto mais movimentado do Brasil com 306.225 movimentos em 2025, o que corresponde a um crescimento de 5,6% quando comparado com o ano anterior.</w:t>
      </w:r>
    </w:p>
    <w:bookmarkStart w:id="31" w:name="X074a96a1101a796b73f05e533e6d7c6def2ba56"/>
    <w:p>
      <w:pPr>
        <w:pStyle w:val="Ttulo2"/>
      </w:pPr>
      <w:r>
        <w:t xml:space="preserve">ORGANIZAÇÃO DOS SERVIÇOS DA NAVEGAÇÃO AÉREA</w:t>
      </w:r>
    </w:p>
    <w:p>
      <w:pPr>
        <w:pStyle w:val="FirstParagraph"/>
      </w:pPr>
      <w:r>
        <w:t xml:space="preserve">O DECEA é o órgão central do SISCEAB, responsável pela gestão do tráfego aéreo, que envolve todas as atividades relacionadas à segurança e à eficiência do controle do espaço aéreo brasileiro.</w:t>
      </w:r>
    </w:p>
    <w:p>
      <w:pPr>
        <w:pStyle w:val="Corpodetexto"/>
      </w:pPr>
      <w:r>
        <w:t xml:space="preserve">Nesse contexto, o CGNA é a organização responsável pelo Gerenciamento do Fluxo de Tráfego Aéreo (ATFM), aplicando medidas ATFM, quando necessário, e conduzindo o processo de tomada de decisões colaborativas com a comunidade ATM nacional (companhias aéreas, aeroportos, órgãos de controle etc.). Além disso, também coordena a gestão do espaço aéreo, o sistema de tratamento de planos de voo, o banco de dados estatísticos, as análises de indicadores e pós-operações, bem como outras atividades relacionadas à navegação aérea.</w:t>
      </w:r>
    </w:p>
    <w:p>
      <w:pPr>
        <w:pStyle w:val="Corpodetexto"/>
      </w:pPr>
      <w:r>
        <w:t xml:space="preserve">Como responsáveis pela prestação dos serviços de navegação aérea em suas respectivas áreas geográficas, abarcando toda a área de responsabilidade do Brasil, o DECEA conta com cinco Organizações Regionais: quatro Centros Integrados de Defesa Aérea e Controle de Tráfego Aéreo (os CINDACTA I, II, III e IV) e o Centro Regional de Controle do Espaço Aéreo Sudeste (CRCEA-SE). A</w:t>
      </w:r>
      <w:r>
        <w:t xml:space="preserve"> </w:t>
      </w:r>
      <w:hyperlink w:anchor="tbl-resumo-dados-sisceab-2024">
        <w:r>
          <w:rPr>
            <w:rStyle w:val="Hyperlink"/>
          </w:rPr>
          <w:t xml:space="preserve">Tabela 3</w:t>
        </w:r>
      </w:hyperlink>
      <w:r>
        <w:t xml:space="preserve"> </w:t>
      </w:r>
      <w:r>
        <w:t xml:space="preserve">apresenta as principais características de tais Organizações no contexto do SISCEAB.</w:t>
      </w:r>
    </w:p>
    <w:tbl>
      <w:tblPr>
        <w:tblStyle w:val="Table"/>
        <w:tblW w:type="pct" w:w="5000"/>
        <w:tblLayout w:type="fixed"/>
        <w:tblLook w:firstRow="0" w:lastRow="0" w:firstColumn="0" w:lastColumn="0" w:noHBand="0" w:noVBand="0" w:val="0000"/>
      </w:tblPr>
      <w:tblGrid>
        <w:gridCol w:w="7920"/>
      </w:tblGrid>
      <w:tr>
        <w:tc>
          <w:tcPr/>
          <w:bookmarkStart w:id="30" w:name="tbl-resumo-dados-sisceab-2024"/>
          <w:p>
            <w:pPr>
              <w:jc w:val="center"/>
            </w:pPr>
            <w:pPr>
              <w:jc w:val="left"/>
              <w:spacing w:before="200"/>
              <w:pStyle w:val="ImageCaption"/>
            </w:pPr>
            <w:r>
              <w:t xml:space="preserve">Tabela 3: Resumo dos Dados do SISCEAB em 2025</w:t>
            </w:r>
          </w:p>
          <w:tbl>
            <w:tblPr>
              <w:tblStyle w:val="Table"/>
              <w:tblW w:type="pct" w:w="5000"/>
              <w:tblLayout w:type="fixed"/>
              <w:tblLook w:firstRow="1" w:lastRow="0" w:firstColumn="0" w:lastColumn="0" w:noHBand="0" w:noVBand="0" w:val="0020"/>
            </w:tblPr>
            <w:tblGrid>
              <w:gridCol w:w="2566"/>
              <w:gridCol w:w="660"/>
              <w:gridCol w:w="880"/>
              <w:gridCol w:w="953"/>
              <w:gridCol w:w="1026"/>
              <w:gridCol w:w="953"/>
              <w:gridCol w:w="880"/>
            </w:tblGrid>
            <w:tr>
              <w:trPr>
                <w:tblHeader w:val="on"/>
              </w:trPr>
              <w:tc>
                <w:tcPr/>
                <w:p>
                  <w:pPr>
                    <w:pStyle w:val="Compact"/>
                    <w:jc w:val="center"/>
                    <w:jc w:val="center"/>
                  </w:pPr>
                  <w:r>
                    <w:t xml:space="preserve">ASPECTO</w:t>
                  </w:r>
                </w:p>
              </w:tc>
              <w:tc>
                <w:tcPr/>
                <w:p>
                  <w:pPr>
                    <w:pStyle w:val="Compact"/>
                    <w:jc w:val="center"/>
                    <w:jc w:val="center"/>
                  </w:pPr>
                  <w:r>
                    <w:t xml:space="preserve">SISCEAB</w:t>
                  </w:r>
                </w:p>
              </w:tc>
              <w:tc>
                <w:tcPr/>
                <w:p>
                  <w:pPr>
                    <w:pStyle w:val="Compact"/>
                    <w:jc w:val="center"/>
                    <w:jc w:val="center"/>
                  </w:pPr>
                  <w:r>
                    <w:t xml:space="preserve">CINDACTA I</w:t>
                  </w:r>
                </w:p>
              </w:tc>
              <w:tc>
                <w:tcPr/>
                <w:p>
                  <w:pPr>
                    <w:pStyle w:val="Compact"/>
                    <w:jc w:val="center"/>
                    <w:jc w:val="center"/>
                  </w:pPr>
                  <w:r>
                    <w:t xml:space="preserve">CINDACTA II</w:t>
                  </w:r>
                </w:p>
              </w:tc>
              <w:tc>
                <w:tcPr/>
                <w:p>
                  <w:pPr>
                    <w:pStyle w:val="Compact"/>
                    <w:jc w:val="center"/>
                    <w:jc w:val="center"/>
                  </w:pPr>
                  <w:r>
                    <w:t xml:space="preserve">CINDACTA III</w:t>
                  </w:r>
                </w:p>
              </w:tc>
              <w:tc>
                <w:tcPr/>
                <w:p>
                  <w:pPr>
                    <w:pStyle w:val="Compact"/>
                    <w:jc w:val="center"/>
                    <w:jc w:val="center"/>
                  </w:pPr>
                  <w:r>
                    <w:t xml:space="preserve">CINDACTA IV</w:t>
                  </w:r>
                </w:p>
              </w:tc>
              <w:tc>
                <w:tcPr/>
                <w:p>
                  <w:pPr>
                    <w:pStyle w:val="Compact"/>
                    <w:jc w:val="center"/>
                    <w:jc w:val="center"/>
                  </w:pPr>
                  <w:r>
                    <w:t xml:space="preserve">CRCEA-SE</w:t>
                  </w:r>
                </w:p>
              </w:tc>
            </w:tr>
            <w:tr>
              <w:tc>
                <w:tcPr/>
                <w:p>
                  <w:pPr>
                    <w:pStyle w:val="Compact"/>
                    <w:jc w:val="center"/>
                    <w:jc w:val="center"/>
                  </w:pPr>
                  <w:r>
                    <w:t xml:space="preserve">Área geográfica (milhões de km²)</w:t>
                  </w:r>
                </w:p>
              </w:tc>
              <w:tc>
                <w:tcPr/>
                <w:p>
                  <w:pPr>
                    <w:pStyle w:val="Compact"/>
                    <w:jc w:val="center"/>
                    <w:jc w:val="center"/>
                  </w:pPr>
                  <w:r>
                    <w:t xml:space="preserve">22,3</w:t>
                  </w:r>
                </w:p>
              </w:tc>
              <w:tc>
                <w:tcPr/>
                <w:p>
                  <w:pPr>
                    <w:pStyle w:val="Compact"/>
                    <w:jc w:val="center"/>
                    <w:jc w:val="center"/>
                  </w:pPr>
                  <w:r>
                    <w:t xml:space="preserve">1,3 / 5,4%</w:t>
                  </w:r>
                </w:p>
              </w:tc>
              <w:tc>
                <w:tcPr/>
                <w:p>
                  <w:pPr>
                    <w:pStyle w:val="Compact"/>
                    <w:jc w:val="center"/>
                    <w:jc w:val="center"/>
                  </w:pPr>
                  <w:r>
                    <w:t xml:space="preserve">1,7 / 7,6%</w:t>
                  </w:r>
                </w:p>
              </w:tc>
              <w:tc>
                <w:tcPr/>
                <w:p>
                  <w:pPr>
                    <w:pStyle w:val="Compact"/>
                    <w:jc w:val="center"/>
                    <w:jc w:val="center"/>
                  </w:pPr>
                  <w:r>
                    <w:t xml:space="preserve">14,4 / 64,6%</w:t>
                  </w:r>
                </w:p>
              </w:tc>
              <w:tc>
                <w:tcPr/>
                <w:p>
                  <w:pPr>
                    <w:pStyle w:val="Compact"/>
                    <w:jc w:val="center"/>
                    <w:jc w:val="center"/>
                  </w:pPr>
                  <w:r>
                    <w:t xml:space="preserve">4,9 / 22,0%</w:t>
                  </w:r>
                </w:p>
              </w:tc>
              <w:tc>
                <w:tcPr/>
                <w:p>
                  <w:pPr>
                    <w:pStyle w:val="Compact"/>
                    <w:jc w:val="center"/>
                    <w:jc w:val="center"/>
                  </w:pPr>
                  <w:r>
                    <w:t xml:space="preserve">0,1 / 0,4%</w:t>
                  </w:r>
                </w:p>
              </w:tc>
            </w:tr>
            <w:tr>
              <w:tc>
                <w:tcPr/>
                <w:p>
                  <w:pPr>
                    <w:pStyle w:val="Compact"/>
                    <w:jc w:val="center"/>
                    <w:jc w:val="center"/>
                  </w:pPr>
                  <w:r>
                    <w:t xml:space="preserve">ATCO em operação (COMAER)*</w:t>
                  </w:r>
                </w:p>
              </w:tc>
              <w:tc>
                <w:tcPr/>
                <w:p>
                  <w:pPr>
                    <w:pStyle w:val="Compact"/>
                    <w:jc w:val="center"/>
                    <w:jc w:val="center"/>
                  </w:pPr>
                  <w:r>
                    <w:t xml:space="preserve">3.893</w:t>
                  </w:r>
                </w:p>
              </w:tc>
              <w:tc>
                <w:tcPr/>
                <w:p>
                  <w:pPr>
                    <w:pStyle w:val="Compact"/>
                    <w:jc w:val="center"/>
                    <w:jc w:val="center"/>
                  </w:pPr>
                  <w:r>
                    <w:t xml:space="preserve">851</w:t>
                  </w:r>
                </w:p>
              </w:tc>
              <w:tc>
                <w:tcPr/>
                <w:p>
                  <w:pPr>
                    <w:pStyle w:val="Compact"/>
                    <w:jc w:val="center"/>
                    <w:jc w:val="center"/>
                  </w:pPr>
                  <w:r>
                    <w:t xml:space="preserve">802</w:t>
                  </w:r>
                </w:p>
              </w:tc>
              <w:tc>
                <w:tcPr/>
                <w:p>
                  <w:pPr>
                    <w:pStyle w:val="Compact"/>
                    <w:jc w:val="center"/>
                    <w:jc w:val="center"/>
                  </w:pPr>
                  <w:r>
                    <w:t xml:space="preserve">736</w:t>
                  </w:r>
                </w:p>
              </w:tc>
              <w:tc>
                <w:tcPr/>
                <w:p>
                  <w:pPr>
                    <w:pStyle w:val="Compact"/>
                    <w:jc w:val="center"/>
                    <w:jc w:val="center"/>
                  </w:pPr>
                  <w:r>
                    <w:t xml:space="preserve">583</w:t>
                  </w:r>
                </w:p>
              </w:tc>
              <w:tc>
                <w:tcPr/>
                <w:p>
                  <w:pPr>
                    <w:pStyle w:val="Compact"/>
                    <w:jc w:val="center"/>
                    <w:jc w:val="center"/>
                  </w:pPr>
                  <w:r>
                    <w:t xml:space="preserve">633</w:t>
                  </w:r>
                </w:p>
              </w:tc>
            </w:tr>
            <w:tr>
              <w:tc>
                <w:tcPr/>
                <w:p>
                  <w:pPr>
                    <w:pStyle w:val="Compact"/>
                    <w:jc w:val="center"/>
                    <w:jc w:val="center"/>
                  </w:pPr>
                  <w:r>
                    <w:t xml:space="preserve">ATCO não operacional (COMAER)*</w:t>
                  </w:r>
                </w:p>
              </w:tc>
              <w:tc>
                <w:tcPr/>
                <w:p>
                  <w:pPr>
                    <w:pStyle w:val="Compact"/>
                    <w:jc w:val="center"/>
                    <w:jc w:val="center"/>
                  </w:pPr>
                  <w:r>
                    <w:t xml:space="preserve">765</w:t>
                  </w:r>
                </w:p>
              </w:tc>
              <w:tc>
                <w:tcPr/>
                <w:p>
                  <w:pPr>
                    <w:pStyle w:val="Compact"/>
                    <w:jc w:val="center"/>
                    <w:jc w:val="center"/>
                  </w:pPr>
                  <w:r>
                    <w:t xml:space="preserve">130</w:t>
                  </w:r>
                </w:p>
              </w:tc>
              <w:tc>
                <w:tcPr/>
                <w:p>
                  <w:pPr>
                    <w:pStyle w:val="Compact"/>
                    <w:jc w:val="center"/>
                    <w:jc w:val="center"/>
                  </w:pPr>
                  <w:r>
                    <w:t xml:space="preserve">100</w:t>
                  </w:r>
                </w:p>
              </w:tc>
              <w:tc>
                <w:tcPr/>
                <w:p>
                  <w:pPr>
                    <w:pStyle w:val="Compact"/>
                    <w:jc w:val="center"/>
                    <w:jc w:val="center"/>
                  </w:pPr>
                  <w:r>
                    <w:t xml:space="preserve">88</w:t>
                  </w:r>
                </w:p>
              </w:tc>
              <w:tc>
                <w:tcPr/>
                <w:p>
                  <w:pPr>
                    <w:pStyle w:val="Compact"/>
                    <w:jc w:val="center"/>
                    <w:jc w:val="center"/>
                  </w:pPr>
                  <w:r>
                    <w:t xml:space="preserve">58</w:t>
                  </w:r>
                </w:p>
              </w:tc>
              <w:tc>
                <w:tcPr/>
                <w:p>
                  <w:pPr>
                    <w:pStyle w:val="Compact"/>
                    <w:jc w:val="center"/>
                    <w:jc w:val="center"/>
                  </w:pPr>
                  <w:r>
                    <w:t xml:space="preserve">118</w:t>
                  </w:r>
                </w:p>
              </w:tc>
            </w:tr>
            <w:tr>
              <w:tc>
                <w:tcPr/>
                <w:p>
                  <w:pPr>
                    <w:pStyle w:val="Compact"/>
                    <w:jc w:val="center"/>
                    <w:jc w:val="center"/>
                  </w:pPr>
                  <w:r>
                    <w:t xml:space="preserve">Efetivo total ATCO (COMAER)*</w:t>
                  </w:r>
                </w:p>
              </w:tc>
              <w:tc>
                <w:tcPr/>
                <w:p>
                  <w:pPr>
                    <w:pStyle w:val="Compact"/>
                    <w:jc w:val="center"/>
                    <w:jc w:val="center"/>
                  </w:pPr>
                  <w:r>
                    <w:t xml:space="preserve">4.658</w:t>
                  </w:r>
                </w:p>
              </w:tc>
              <w:tc>
                <w:tcPr/>
                <w:p>
                  <w:pPr>
                    <w:pStyle w:val="Compact"/>
                    <w:jc w:val="center"/>
                    <w:jc w:val="center"/>
                  </w:pPr>
                  <w:r>
                    <w:t xml:space="preserve">981</w:t>
                  </w:r>
                </w:p>
              </w:tc>
              <w:tc>
                <w:tcPr/>
                <w:p>
                  <w:pPr>
                    <w:pStyle w:val="Compact"/>
                    <w:jc w:val="center"/>
                    <w:jc w:val="center"/>
                  </w:pPr>
                  <w:r>
                    <w:t xml:space="preserve">902</w:t>
                  </w:r>
                </w:p>
              </w:tc>
              <w:tc>
                <w:tcPr/>
                <w:p>
                  <w:pPr>
                    <w:pStyle w:val="Compact"/>
                    <w:jc w:val="center"/>
                    <w:jc w:val="center"/>
                  </w:pPr>
                  <w:r>
                    <w:t xml:space="preserve">824</w:t>
                  </w:r>
                </w:p>
              </w:tc>
              <w:tc>
                <w:tcPr/>
                <w:p>
                  <w:pPr>
                    <w:pStyle w:val="Compact"/>
                    <w:jc w:val="center"/>
                    <w:jc w:val="center"/>
                  </w:pPr>
                  <w:r>
                    <w:t xml:space="preserve">641</w:t>
                  </w:r>
                </w:p>
              </w:tc>
              <w:tc>
                <w:tcPr/>
                <w:p>
                  <w:pPr>
                    <w:pStyle w:val="Compact"/>
                    <w:jc w:val="center"/>
                    <w:jc w:val="center"/>
                  </w:pPr>
                  <w:r>
                    <w:t xml:space="preserve">751</w:t>
                  </w:r>
                </w:p>
              </w:tc>
            </w:tr>
            <w:tr>
              <w:tc>
                <w:tcPr/>
                <w:p>
                  <w:pPr>
                    <w:pStyle w:val="Compact"/>
                    <w:jc w:val="center"/>
                    <w:jc w:val="center"/>
                  </w:pPr>
                  <w:r>
                    <w:t xml:space="preserve">Percentual operacional (COMAER)</w:t>
                  </w:r>
                </w:p>
              </w:tc>
              <w:tc>
                <w:tcPr/>
                <w:p>
                  <w:pPr>
                    <w:pStyle w:val="Compact"/>
                    <w:jc w:val="center"/>
                    <w:jc w:val="center"/>
                  </w:pPr>
                  <w:r>
                    <w:t xml:space="preserve">83,58%</w:t>
                  </w:r>
                </w:p>
              </w:tc>
              <w:tc>
                <w:tcPr/>
                <w:p>
                  <w:pPr>
                    <w:pStyle w:val="Compact"/>
                    <w:jc w:val="center"/>
                    <w:jc w:val="center"/>
                  </w:pPr>
                  <w:r>
                    <w:t xml:space="preserve">86,75%</w:t>
                  </w:r>
                </w:p>
              </w:tc>
              <w:tc>
                <w:tcPr/>
                <w:p>
                  <w:pPr>
                    <w:pStyle w:val="Compact"/>
                    <w:jc w:val="center"/>
                    <w:jc w:val="center"/>
                  </w:pPr>
                  <w:r>
                    <w:t xml:space="preserve">88,91%</w:t>
                  </w:r>
                </w:p>
              </w:tc>
              <w:tc>
                <w:tcPr/>
                <w:p>
                  <w:pPr>
                    <w:pStyle w:val="Compact"/>
                    <w:jc w:val="center"/>
                    <w:jc w:val="center"/>
                  </w:pPr>
                  <w:r>
                    <w:t xml:space="preserve">89,32%</w:t>
                  </w:r>
                </w:p>
              </w:tc>
              <w:tc>
                <w:tcPr/>
                <w:p>
                  <w:pPr>
                    <w:pStyle w:val="Compact"/>
                    <w:jc w:val="center"/>
                    <w:jc w:val="center"/>
                  </w:pPr>
                  <w:r>
                    <w:t xml:space="preserve">90,95%</w:t>
                  </w:r>
                </w:p>
              </w:tc>
              <w:tc>
                <w:tcPr/>
                <w:p>
                  <w:pPr>
                    <w:pStyle w:val="Compact"/>
                    <w:jc w:val="center"/>
                    <w:jc w:val="center"/>
                  </w:pPr>
                  <w:r>
                    <w:t xml:space="preserve">84,29%</w:t>
                  </w:r>
                </w:p>
              </w:tc>
            </w:tr>
            <w:tr>
              <w:tc>
                <w:tcPr/>
                <w:p>
                  <w:pPr>
                    <w:pStyle w:val="Compact"/>
                    <w:jc w:val="center"/>
                    <w:jc w:val="center"/>
                  </w:pPr>
                  <w:r>
                    <w:t xml:space="preserve">Efetivo total ATCO (NAVBRASIL)</w:t>
                  </w:r>
                </w:p>
              </w:tc>
              <w:tc>
                <w:tcPr/>
                <w:p>
                  <w:pPr>
                    <w:pStyle w:val="Compact"/>
                    <w:jc w:val="center"/>
                    <w:jc w:val="center"/>
                  </w:pPr>
                  <w:r>
                    <w:t xml:space="preserve">588</w:t>
                  </w:r>
                </w:p>
              </w:tc>
              <w:tc>
                <w:tcPr/>
                <w:p>
                  <w:pPr>
                    <w:pStyle w:val="Compact"/>
                    <w:jc w:val="center"/>
                    <w:jc w:val="center"/>
                  </w:pPr>
                  <w:r>
                    <w:t xml:space="preserve">150</w:t>
                  </w:r>
                </w:p>
              </w:tc>
              <w:tc>
                <w:tcPr/>
                <w:p>
                  <w:pPr>
                    <w:pStyle w:val="Compact"/>
                    <w:jc w:val="center"/>
                    <w:jc w:val="center"/>
                  </w:pPr>
                  <w:r>
                    <w:t xml:space="preserve">125</w:t>
                  </w:r>
                </w:p>
              </w:tc>
              <w:tc>
                <w:tcPr/>
                <w:p>
                  <w:pPr>
                    <w:pStyle w:val="Compact"/>
                    <w:jc w:val="center"/>
                    <w:jc w:val="center"/>
                  </w:pPr>
                  <w:r>
                    <w:t xml:space="preserve">105</w:t>
                  </w:r>
                </w:p>
              </w:tc>
              <w:tc>
                <w:tcPr/>
                <w:p>
                  <w:pPr>
                    <w:pStyle w:val="Compact"/>
                    <w:jc w:val="center"/>
                    <w:jc w:val="center"/>
                  </w:pPr>
                  <w:r>
                    <w:t xml:space="preserve">50</w:t>
                  </w:r>
                </w:p>
              </w:tc>
              <w:tc>
                <w:tcPr/>
                <w:p>
                  <w:pPr>
                    <w:pStyle w:val="Compact"/>
                    <w:jc w:val="center"/>
                    <w:jc w:val="center"/>
                  </w:pPr>
                  <w:r>
                    <w:t xml:space="preserve">158</w:t>
                  </w:r>
                </w:p>
              </w:tc>
            </w:tr>
            <w:tr>
              <w:tc>
                <w:tcPr/>
                <w:p>
                  <w:pPr>
                    <w:pStyle w:val="Compact"/>
                    <w:jc w:val="center"/>
                    <w:jc w:val="center"/>
                  </w:pPr>
                  <w:r>
                    <w:t xml:space="preserve">Efetivo total ATCO (Outros)</w:t>
                  </w:r>
                </w:p>
              </w:tc>
              <w:tc>
                <w:tcPr/>
                <w:p>
                  <w:pPr>
                    <w:pStyle w:val="Compact"/>
                    <w:jc w:val="center"/>
                    <w:jc w:val="center"/>
                  </w:pPr>
                  <w:r>
                    <w:t xml:space="preserve">159</w:t>
                  </w:r>
                </w:p>
              </w:tc>
              <w:tc>
                <w:tcPr/>
                <w:p>
                  <w:pPr>
                    <w:pStyle w:val="Compact"/>
                    <w:jc w:val="center"/>
                    <w:jc w:val="center"/>
                  </w:pPr>
                  <w:r>
                    <w:t xml:space="preserve">0</w:t>
                  </w:r>
                </w:p>
              </w:tc>
              <w:tc>
                <w:tcPr/>
                <w:p>
                  <w:pPr>
                    <w:pStyle w:val="Compact"/>
                    <w:jc w:val="center"/>
                    <w:jc w:val="center"/>
                  </w:pPr>
                  <w:r>
                    <w:t xml:space="preserve">0</w:t>
                  </w:r>
                </w:p>
              </w:tc>
              <w:tc>
                <w:tcPr/>
                <w:p>
                  <w:pPr>
                    <w:pStyle w:val="Compact"/>
                    <w:jc w:val="center"/>
                    <w:jc w:val="center"/>
                  </w:pPr>
                  <w:r>
                    <w:t xml:space="preserve">0</w:t>
                  </w:r>
                </w:p>
              </w:tc>
              <w:tc>
                <w:tcPr/>
                <w:p>
                  <w:pPr>
                    <w:pStyle w:val="Compact"/>
                    <w:jc w:val="center"/>
                    <w:jc w:val="center"/>
                  </w:pPr>
                  <w:r>
                    <w:t xml:space="preserve">0</w:t>
                  </w:r>
                </w:p>
              </w:tc>
              <w:tc>
                <w:tcPr/>
                <w:p>
                  <w:pPr>
                    <w:pStyle w:val="Compact"/>
                    <w:jc w:val="center"/>
                    <w:jc w:val="center"/>
                  </w:pPr>
                  <w:r>
                    <w:t xml:space="preserve">0</w:t>
                  </w:r>
                </w:p>
              </w:tc>
            </w:tr>
            <w:tr>
              <w:tc>
                <w:tcPr/>
                <w:p>
                  <w:pPr>
                    <w:pStyle w:val="Compact"/>
                    <w:jc w:val="center"/>
                    <w:jc w:val="center"/>
                  </w:pPr>
                  <w:r>
                    <w:t xml:space="preserve">Voos controlados (milhões)</w:t>
                  </w:r>
                </w:p>
              </w:tc>
              <w:tc>
                <w:tcPr/>
                <w:p>
                  <w:pPr>
                    <w:pStyle w:val="Compact"/>
                    <w:jc w:val="center"/>
                    <w:jc w:val="center"/>
                  </w:pPr>
                  <w:r>
                    <w:t xml:space="preserve">2,1</w:t>
                  </w:r>
                </w:p>
              </w:tc>
              <w:tc>
                <w:tcPr/>
                <w:p>
                  <w:pPr>
                    <w:pStyle w:val="Compact"/>
                    <w:jc w:val="center"/>
                    <w:jc w:val="center"/>
                  </w:pPr>
                  <w:r>
                    <w:t xml:space="preserve">0,71</w:t>
                  </w:r>
                </w:p>
              </w:tc>
              <w:tc>
                <w:tcPr/>
                <w:p>
                  <w:pPr>
                    <w:pStyle w:val="Compact"/>
                    <w:jc w:val="center"/>
                    <w:jc w:val="center"/>
                  </w:pPr>
                  <w:r>
                    <w:t xml:space="preserve">0,57</w:t>
                  </w:r>
                </w:p>
              </w:tc>
              <w:tc>
                <w:tcPr/>
                <w:p>
                  <w:pPr>
                    <w:pStyle w:val="Compact"/>
                    <w:jc w:val="center"/>
                    <w:jc w:val="center"/>
                  </w:pPr>
                  <w:r>
                    <w:t xml:space="preserve">0,4</w:t>
                  </w:r>
                </w:p>
              </w:tc>
              <w:tc>
                <w:tcPr/>
                <w:p>
                  <w:pPr>
                    <w:pStyle w:val="Compact"/>
                    <w:jc w:val="center"/>
                    <w:jc w:val="center"/>
                  </w:pPr>
                  <w:r>
                    <w:t xml:space="preserve">0,39</w:t>
                  </w:r>
                </w:p>
              </w:tc>
              <w:tc>
                <w:tcPr/>
                <w:p>
                  <w:pPr>
                    <w:pStyle w:val="Compact"/>
                    <w:jc w:val="center"/>
                    <w:jc w:val="center"/>
                  </w:pPr>
                  <w:r>
                    <w:t xml:space="preserve">0,99</w:t>
                  </w:r>
                </w:p>
              </w:tc>
            </w:tr>
            <w:tr>
              <w:tc>
                <w:tcPr/>
                <w:p>
                  <w:pPr>
                    <w:pStyle w:val="Compact"/>
                    <w:jc w:val="center"/>
                    <w:jc w:val="center"/>
                  </w:pPr>
                  <w:r>
                    <w:t xml:space="preserve">Densidade (voos/km²)</w:t>
                  </w:r>
                </w:p>
              </w:tc>
              <w:tc>
                <w:tcPr/>
                <w:p>
                  <w:pPr>
                    <w:pStyle w:val="Compact"/>
                    <w:jc w:val="center"/>
                    <w:jc w:val="center"/>
                  </w:pPr>
                  <w:r>
                    <w:t xml:space="preserve">0,21</w:t>
                  </w:r>
                </w:p>
              </w:tc>
              <w:tc>
                <w:tcPr/>
                <w:p>
                  <w:pPr>
                    <w:pStyle w:val="Compact"/>
                    <w:jc w:val="center"/>
                    <w:jc w:val="center"/>
                  </w:pPr>
                  <w:r>
                    <w:t xml:space="preserve">0,64</w:t>
                  </w:r>
                </w:p>
              </w:tc>
              <w:tc>
                <w:tcPr/>
                <w:p>
                  <w:pPr>
                    <w:pStyle w:val="Compact"/>
                    <w:jc w:val="center"/>
                    <w:jc w:val="center"/>
                  </w:pPr>
                  <w:r>
                    <w:t xml:space="preserve">0,33</w:t>
                  </w:r>
                </w:p>
              </w:tc>
              <w:tc>
                <w:tcPr/>
                <w:p>
                  <w:pPr>
                    <w:pStyle w:val="Compact"/>
                    <w:jc w:val="center"/>
                    <w:jc w:val="center"/>
                  </w:pPr>
                  <w:r>
                    <w:t xml:space="preserve">0,19</w:t>
                  </w:r>
                </w:p>
              </w:tc>
              <w:tc>
                <w:tcPr/>
                <w:p>
                  <w:pPr>
                    <w:pStyle w:val="Compact"/>
                    <w:jc w:val="center"/>
                    <w:jc w:val="center"/>
                  </w:pPr>
                  <w:r>
                    <w:t xml:space="preserve">0,07</w:t>
                  </w:r>
                </w:p>
              </w:tc>
              <w:tc>
                <w:tcPr/>
                <w:p>
                  <w:pPr>
                    <w:pStyle w:val="Compact"/>
                    <w:jc w:val="center"/>
                    <w:jc w:val="center"/>
                  </w:pPr>
                  <w:r>
                    <w:t xml:space="preserve">11,35</w:t>
                  </w:r>
                </w:p>
              </w:tc>
            </w:tr>
            <w:tr>
              <w:tc>
                <w:tcPr/>
                <w:p>
                  <w:pPr>
                    <w:pStyle w:val="Compact"/>
                    <w:jc w:val="center"/>
                    <w:jc w:val="center"/>
                  </w:pPr>
                  <w:r>
                    <w:t xml:space="preserve">Produtividade (mil voos/ATCO op.)</w:t>
                  </w:r>
                </w:p>
              </w:tc>
              <w:tc>
                <w:tcPr/>
                <w:p>
                  <w:pPr>
                    <w:pStyle w:val="Compact"/>
                    <w:jc w:val="center"/>
                    <w:jc w:val="center"/>
                  </w:pPr>
                  <w:r>
                    <w:t xml:space="preserve">0,54</w:t>
                  </w:r>
                </w:p>
              </w:tc>
              <w:tc>
                <w:tcPr/>
                <w:p>
                  <w:pPr>
                    <w:pStyle w:val="Compact"/>
                    <w:jc w:val="center"/>
                    <w:jc w:val="center"/>
                  </w:pPr>
                  <w:r>
                    <w:t xml:space="preserve">0,83</w:t>
                  </w:r>
                </w:p>
              </w:tc>
              <w:tc>
                <w:tcPr/>
                <w:p>
                  <w:pPr>
                    <w:pStyle w:val="Compact"/>
                    <w:jc w:val="center"/>
                    <w:jc w:val="center"/>
                  </w:pPr>
                  <w:r>
                    <w:t xml:space="preserve">0,71</w:t>
                  </w:r>
                </w:p>
              </w:tc>
              <w:tc>
                <w:tcPr/>
                <w:p>
                  <w:pPr>
                    <w:pStyle w:val="Compact"/>
                    <w:jc w:val="center"/>
                    <w:jc w:val="center"/>
                  </w:pPr>
                  <w:r>
                    <w:t xml:space="preserve">0,54</w:t>
                  </w:r>
                </w:p>
              </w:tc>
              <w:tc>
                <w:tcPr/>
                <w:p>
                  <w:pPr>
                    <w:pStyle w:val="Compact"/>
                    <w:jc w:val="center"/>
                    <w:jc w:val="center"/>
                  </w:pPr>
                  <w:r>
                    <w:t xml:space="preserve">0,67</w:t>
                  </w:r>
                </w:p>
              </w:tc>
              <w:tc>
                <w:tcPr/>
                <w:p>
                  <w:pPr>
                    <w:pStyle w:val="Compact"/>
                    <w:jc w:val="center"/>
                    <w:jc w:val="center"/>
                  </w:pPr>
                  <w:r>
                    <w:t xml:space="preserve">1,56</w:t>
                  </w:r>
                </w:p>
              </w:tc>
            </w:tr>
            <w:tr>
              <w:tc>
                <w:tcPr/>
                <w:p>
                  <w:pPr>
                    <w:pStyle w:val="Compact"/>
                    <w:jc w:val="center"/>
                    <w:jc w:val="center"/>
                  </w:pPr>
                  <w:r>
                    <w:t xml:space="preserve">Share da Aviação Geral</w:t>
                  </w:r>
                </w:p>
              </w:tc>
              <w:tc>
                <w:tcPr/>
                <w:p>
                  <w:pPr>
                    <w:pStyle w:val="Compact"/>
                    <w:jc w:val="center"/>
                    <w:jc w:val="center"/>
                  </w:pPr>
                  <w:r>
                    <w:t xml:space="preserve">47%</w:t>
                  </w:r>
                </w:p>
              </w:tc>
              <w:tc>
                <w:tcPr/>
                <w:p>
                  <w:pPr>
                    <w:pStyle w:val="Compact"/>
                    <w:jc w:val="center"/>
                    <w:jc w:val="center"/>
                  </w:pPr>
                  <w:r>
                    <w:t xml:space="preserve">27%</w:t>
                  </w:r>
                </w:p>
              </w:tc>
              <w:tc>
                <w:tcPr/>
                <w:p>
                  <w:pPr>
                    <w:pStyle w:val="Compact"/>
                    <w:jc w:val="center"/>
                    <w:jc w:val="center"/>
                  </w:pPr>
                  <w:r>
                    <w:t xml:space="preserve">29%</w:t>
                  </w:r>
                </w:p>
              </w:tc>
              <w:tc>
                <w:tcPr/>
                <w:p>
                  <w:pPr>
                    <w:pStyle w:val="Compact"/>
                    <w:jc w:val="center"/>
                    <w:jc w:val="center"/>
                  </w:pPr>
                  <w:r>
                    <w:t xml:space="preserve">23%</w:t>
                  </w:r>
                </w:p>
              </w:tc>
              <w:tc>
                <w:tcPr/>
                <w:p>
                  <w:pPr>
                    <w:pStyle w:val="Compact"/>
                    <w:jc w:val="center"/>
                    <w:jc w:val="center"/>
                  </w:pPr>
                  <w:r>
                    <w:t xml:space="preserve">47%</w:t>
                  </w:r>
                </w:p>
              </w:tc>
              <w:tc>
                <w:tcPr/>
                <w:p>
                  <w:pPr>
                    <w:pStyle w:val="Compact"/>
                    <w:jc w:val="center"/>
                    <w:jc w:val="center"/>
                  </w:pPr>
                  <w:r>
                    <w:t xml:space="preserve">27%</w:t>
                  </w:r>
                </w:p>
              </w:tc>
            </w:tr>
            <w:tr>
              <w:tc>
                <w:tcPr/>
                <w:p>
                  <w:pPr>
                    <w:pStyle w:val="Compact"/>
                    <w:jc w:val="center"/>
                    <w:jc w:val="center"/>
                  </w:pPr>
                  <w:r>
                    <w:t xml:space="preserve">Centros de Controle de Área (ACC)</w:t>
                  </w:r>
                </w:p>
              </w:tc>
              <w:tc>
                <w:tcPr/>
                <w:p>
                  <w:pPr>
                    <w:pStyle w:val="Compact"/>
                    <w:jc w:val="center"/>
                    <w:jc w:val="center"/>
                  </w:pPr>
                  <w:r>
                    <w:t xml:space="preserve">5</w:t>
                  </w:r>
                </w:p>
              </w:tc>
              <w:tc>
                <w:tcPr/>
                <w:p>
                  <w:pPr>
                    <w:pStyle w:val="Compact"/>
                    <w:jc w:val="center"/>
                    <w:jc w:val="center"/>
                  </w:pPr>
                  <w:r>
                    <w:t xml:space="preserve">1</w:t>
                  </w:r>
                </w:p>
              </w:tc>
              <w:tc>
                <w:tcPr/>
                <w:p>
                  <w:pPr>
                    <w:pStyle w:val="Compact"/>
                    <w:jc w:val="center"/>
                    <w:jc w:val="center"/>
                  </w:pPr>
                  <w:r>
                    <w:t xml:space="preserve">1</w:t>
                  </w:r>
                </w:p>
              </w:tc>
              <w:tc>
                <w:tcPr/>
                <w:p>
                  <w:pPr>
                    <w:pStyle w:val="Compact"/>
                    <w:jc w:val="center"/>
                    <w:jc w:val="center"/>
                  </w:pPr>
                  <w:r>
                    <w:t xml:space="preserve">2</w:t>
                  </w:r>
                </w:p>
              </w:tc>
              <w:tc>
                <w:tcPr/>
                <w:p>
                  <w:pPr>
                    <w:pStyle w:val="Compact"/>
                    <w:jc w:val="center"/>
                    <w:jc w:val="center"/>
                  </w:pPr>
                  <w:r>
                    <w:t xml:space="preserve">1</w:t>
                  </w:r>
                </w:p>
              </w:tc>
              <w:tc>
                <w:tcPr/>
                <w:p>
                  <w:pPr>
                    <w:pStyle w:val="Compact"/>
                    <w:jc w:val="center"/>
                    <w:jc w:val="center"/>
                  </w:pPr>
                  <w:r>
                    <w:t xml:space="preserve">0</w:t>
                  </w:r>
                </w:p>
              </w:tc>
            </w:tr>
            <w:tr>
              <w:tc>
                <w:tcPr/>
                <w:p>
                  <w:pPr>
                    <w:pStyle w:val="Compact"/>
                    <w:jc w:val="center"/>
                    <w:jc w:val="center"/>
                  </w:pPr>
                  <w:r>
                    <w:t xml:space="preserve">Controle de Aproximação (APP)</w:t>
                  </w:r>
                </w:p>
              </w:tc>
              <w:tc>
                <w:tcPr/>
                <w:p>
                  <w:pPr>
                    <w:pStyle w:val="Compact"/>
                    <w:jc w:val="center"/>
                    <w:jc w:val="center"/>
                  </w:pPr>
                  <w:r>
                    <w:t xml:space="preserve">41</w:t>
                  </w:r>
                </w:p>
              </w:tc>
              <w:tc>
                <w:tcPr/>
                <w:p>
                  <w:pPr>
                    <w:pStyle w:val="Compact"/>
                    <w:jc w:val="center"/>
                    <w:jc w:val="center"/>
                  </w:pPr>
                  <w:r>
                    <w:t xml:space="preserve">9</w:t>
                  </w:r>
                </w:p>
              </w:tc>
              <w:tc>
                <w:tcPr/>
                <w:p>
                  <w:pPr>
                    <w:pStyle w:val="Compact"/>
                    <w:jc w:val="center"/>
                    <w:jc w:val="center"/>
                  </w:pPr>
                  <w:r>
                    <w:t xml:space="preserve">9</w:t>
                  </w:r>
                </w:p>
              </w:tc>
              <w:tc>
                <w:tcPr/>
                <w:p>
                  <w:pPr>
                    <w:pStyle w:val="Compact"/>
                    <w:jc w:val="center"/>
                    <w:jc w:val="center"/>
                  </w:pPr>
                  <w:r>
                    <w:t xml:space="preserve">11</w:t>
                  </w:r>
                </w:p>
              </w:tc>
              <w:tc>
                <w:tcPr/>
                <w:p>
                  <w:pPr>
                    <w:pStyle w:val="Compact"/>
                    <w:jc w:val="center"/>
                    <w:jc w:val="center"/>
                  </w:pPr>
                  <w:r>
                    <w:t xml:space="preserve">8</w:t>
                  </w:r>
                </w:p>
              </w:tc>
              <w:tc>
                <w:tcPr/>
                <w:p>
                  <w:pPr>
                    <w:pStyle w:val="Compact"/>
                    <w:jc w:val="center"/>
                    <w:jc w:val="center"/>
                  </w:pPr>
                  <w:r>
                    <w:t xml:space="preserve">4</w:t>
                  </w:r>
                </w:p>
              </w:tc>
            </w:tr>
            <w:tr>
              <w:tc>
                <w:tcPr/>
                <w:p>
                  <w:pPr>
                    <w:pStyle w:val="Compact"/>
                    <w:jc w:val="center"/>
                    <w:jc w:val="center"/>
                  </w:pPr>
                  <w:r>
                    <w:t xml:space="preserve">Aeródromos com TWR</w:t>
                  </w:r>
                </w:p>
              </w:tc>
              <w:tc>
                <w:tcPr/>
                <w:p>
                  <w:pPr>
                    <w:pStyle w:val="Compact"/>
                    <w:jc w:val="center"/>
                    <w:jc w:val="center"/>
                  </w:pPr>
                  <w:r>
                    <w:t xml:space="preserve">56</w:t>
                  </w:r>
                </w:p>
              </w:tc>
              <w:tc>
                <w:tcPr/>
                <w:p>
                  <w:pPr>
                    <w:pStyle w:val="Compact"/>
                    <w:jc w:val="center"/>
                    <w:jc w:val="center"/>
                  </w:pPr>
                  <w:r>
                    <w:t xml:space="preserve">10</w:t>
                  </w:r>
                </w:p>
              </w:tc>
              <w:tc>
                <w:tcPr/>
                <w:p>
                  <w:pPr>
                    <w:pStyle w:val="Compact"/>
                    <w:jc w:val="center"/>
                    <w:jc w:val="center"/>
                  </w:pPr>
                  <w:r>
                    <w:t xml:space="preserve">13</w:t>
                  </w:r>
                </w:p>
              </w:tc>
              <w:tc>
                <w:tcPr/>
                <w:p>
                  <w:pPr>
                    <w:pStyle w:val="Compact"/>
                    <w:jc w:val="center"/>
                    <w:jc w:val="center"/>
                  </w:pPr>
                  <w:r>
                    <w:t xml:space="preserve">12</w:t>
                  </w:r>
                </w:p>
              </w:tc>
              <w:tc>
                <w:tcPr/>
                <w:p>
                  <w:pPr>
                    <w:pStyle w:val="Compact"/>
                    <w:jc w:val="center"/>
                    <w:jc w:val="center"/>
                  </w:pPr>
                  <w:r>
                    <w:t xml:space="preserve">8</w:t>
                  </w:r>
                </w:p>
              </w:tc>
              <w:tc>
                <w:tcPr/>
                <w:p>
                  <w:pPr>
                    <w:pStyle w:val="Compact"/>
                    <w:jc w:val="center"/>
                    <w:jc w:val="center"/>
                  </w:pPr>
                  <w:r>
                    <w:t xml:space="preserve">13</w:t>
                  </w:r>
                </w:p>
              </w:tc>
            </w:tr>
            <w:tr>
              <w:tc>
                <w:tcPr/>
                <w:p>
                  <w:pPr>
                    <w:pStyle w:val="Compact"/>
                    <w:jc w:val="center"/>
                    <w:jc w:val="center"/>
                  </w:pPr>
                  <w:r>
                    <w:t xml:space="preserve">Aeródromos com D-TWR</w:t>
                  </w:r>
                </w:p>
              </w:tc>
              <w:tc>
                <w:tcPr/>
                <w:p>
                  <w:pPr>
                    <w:pStyle w:val="Compact"/>
                    <w:jc w:val="center"/>
                    <w:jc w:val="center"/>
                  </w:pPr>
                  <w:r>
                    <w:t xml:space="preserve">1</w:t>
                  </w:r>
                </w:p>
              </w:tc>
              <w:tc>
                <w:tcPr/>
                <w:p>
                  <w:pPr>
                    <w:pStyle w:val="Compact"/>
                    <w:jc w:val="center"/>
                    <w:jc w:val="center"/>
                  </w:pPr>
                  <w:r>
                    <w:t xml:space="preserve">0</w:t>
                  </w:r>
                </w:p>
              </w:tc>
              <w:tc>
                <w:tcPr/>
                <w:p>
                  <w:pPr>
                    <w:pStyle w:val="Compact"/>
                    <w:jc w:val="center"/>
                    <w:jc w:val="center"/>
                  </w:pPr>
                  <w:r>
                    <w:t xml:space="preserve">0</w:t>
                  </w:r>
                </w:p>
              </w:tc>
              <w:tc>
                <w:tcPr/>
                <w:p>
                  <w:pPr>
                    <w:pStyle w:val="Compact"/>
                    <w:jc w:val="center"/>
                    <w:jc w:val="center"/>
                  </w:pPr>
                  <w:r>
                    <w:t xml:space="preserve">0</w:t>
                  </w:r>
                </w:p>
              </w:tc>
              <w:tc>
                <w:tcPr/>
                <w:p>
                  <w:pPr>
                    <w:pStyle w:val="Compact"/>
                    <w:jc w:val="center"/>
                    <w:jc w:val="center"/>
                  </w:pPr>
                  <w:r>
                    <w:t xml:space="preserve">0</w:t>
                  </w:r>
                </w:p>
              </w:tc>
              <w:tc>
                <w:tcPr/>
                <w:p>
                  <w:pPr>
                    <w:pStyle w:val="Compact"/>
                    <w:jc w:val="center"/>
                    <w:jc w:val="center"/>
                  </w:pPr>
                  <w:r>
                    <w:t xml:space="preserve">1</w:t>
                  </w:r>
                </w:p>
              </w:tc>
            </w:tr>
            <w:tr>
              <w:tc>
                <w:tcPr/>
                <w:p>
                  <w:pPr>
                    <w:pStyle w:val="Compact"/>
                    <w:jc w:val="center"/>
                    <w:jc w:val="center"/>
                  </w:pPr>
                  <w:r>
                    <w:t xml:space="preserve">Aeródromos com AFIS</w:t>
                  </w:r>
                </w:p>
              </w:tc>
              <w:tc>
                <w:tcPr/>
                <w:p>
                  <w:pPr>
                    <w:pStyle w:val="Compact"/>
                    <w:jc w:val="center"/>
                    <w:jc w:val="center"/>
                  </w:pPr>
                  <w:r>
                    <w:t xml:space="preserve">72</w:t>
                  </w:r>
                </w:p>
              </w:tc>
              <w:tc>
                <w:tcPr/>
                <w:p>
                  <w:pPr>
                    <w:pStyle w:val="Compact"/>
                    <w:jc w:val="center"/>
                    <w:jc w:val="center"/>
                  </w:pPr>
                  <w:r>
                    <w:t xml:space="preserve">15</w:t>
                  </w:r>
                </w:p>
              </w:tc>
              <w:tc>
                <w:tcPr/>
                <w:p>
                  <w:pPr>
                    <w:pStyle w:val="Compact"/>
                    <w:jc w:val="center"/>
                    <w:jc w:val="center"/>
                  </w:pPr>
                  <w:r>
                    <w:t xml:space="preserve">23</w:t>
                  </w:r>
                </w:p>
              </w:tc>
              <w:tc>
                <w:tcPr/>
                <w:p>
                  <w:pPr>
                    <w:pStyle w:val="Compact"/>
                    <w:jc w:val="center"/>
                    <w:jc w:val="center"/>
                  </w:pPr>
                  <w:r>
                    <w:t xml:space="preserve">13</w:t>
                  </w:r>
                </w:p>
              </w:tc>
              <w:tc>
                <w:tcPr/>
                <w:p>
                  <w:pPr>
                    <w:pStyle w:val="Compact"/>
                    <w:jc w:val="center"/>
                    <w:jc w:val="center"/>
                  </w:pPr>
                  <w:r>
                    <w:t xml:space="preserve">14</w:t>
                  </w:r>
                </w:p>
              </w:tc>
              <w:tc>
                <w:tcPr/>
                <w:p>
                  <w:pPr>
                    <w:pStyle w:val="Compact"/>
                    <w:jc w:val="center"/>
                    <w:jc w:val="center"/>
                  </w:pPr>
                  <w:r>
                    <w:t xml:space="preserve">7</w:t>
                  </w:r>
                </w:p>
              </w:tc>
            </w:tr>
            <w:tr>
              <w:tc>
                <w:tcPr/>
                <w:p>
                  <w:pPr>
                    <w:pStyle w:val="Compact"/>
                    <w:jc w:val="center"/>
                    <w:jc w:val="center"/>
                  </w:pPr>
                  <w:r>
                    <w:t xml:space="preserve">Aeródromos com R-AFIS</w:t>
                  </w:r>
                </w:p>
              </w:tc>
              <w:tc>
                <w:tcPr/>
                <w:p>
                  <w:pPr>
                    <w:pStyle w:val="Compact"/>
                    <w:jc w:val="center"/>
                    <w:jc w:val="center"/>
                  </w:pPr>
                  <w:r>
                    <w:t xml:space="preserve">10</w:t>
                  </w:r>
                </w:p>
              </w:tc>
              <w:tc>
                <w:tcPr/>
                <w:p>
                  <w:pPr>
                    <w:pStyle w:val="Compact"/>
                    <w:jc w:val="center"/>
                    <w:jc w:val="center"/>
                  </w:pPr>
                  <w:r>
                    <w:t xml:space="preserve">1</w:t>
                  </w:r>
                </w:p>
              </w:tc>
              <w:tc>
                <w:tcPr/>
                <w:p>
                  <w:pPr>
                    <w:pStyle w:val="Compact"/>
                    <w:jc w:val="center"/>
                    <w:jc w:val="center"/>
                  </w:pPr>
                  <w:r>
                    <w:t xml:space="preserve">2</w:t>
                  </w:r>
                </w:p>
              </w:tc>
              <w:tc>
                <w:tcPr/>
                <w:p>
                  <w:pPr>
                    <w:pStyle w:val="Compact"/>
                    <w:jc w:val="center"/>
                    <w:jc w:val="center"/>
                  </w:pPr>
                  <w:r>
                    <w:t xml:space="preserve">1</w:t>
                  </w:r>
                </w:p>
              </w:tc>
              <w:tc>
                <w:tcPr/>
                <w:p>
                  <w:pPr>
                    <w:pStyle w:val="Compact"/>
                    <w:jc w:val="center"/>
                    <w:jc w:val="center"/>
                  </w:pPr>
                  <w:r>
                    <w:t xml:space="preserve">6</w:t>
                  </w:r>
                </w:p>
              </w:tc>
              <w:tc>
                <w:tcPr/>
                <w:p>
                  <w:pPr>
                    <w:pStyle w:val="Compact"/>
                    <w:jc w:val="center"/>
                    <w:jc w:val="center"/>
                  </w:pPr>
                  <w:r>
                    <w:t xml:space="preserve">0</w:t>
                  </w:r>
                </w:p>
              </w:tc>
            </w:tr>
            <w:tr>
              <w:tc>
                <w:tcPr/>
                <w:p>
                  <w:pPr>
                    <w:pStyle w:val="Compact"/>
                    <w:jc w:val="center"/>
                    <w:jc w:val="center"/>
                  </w:pPr>
                  <w:r>
                    <w:t xml:space="preserve">Aeródromos sem órgão ATS</w:t>
                  </w:r>
                </w:p>
              </w:tc>
              <w:tc>
                <w:tcPr/>
                <w:p>
                  <w:pPr>
                    <w:pStyle w:val="Compact"/>
                    <w:jc w:val="center"/>
                    <w:jc w:val="center"/>
                  </w:pPr>
                  <w:r>
                    <w:t xml:space="preserve">4.200</w:t>
                  </w:r>
                </w:p>
              </w:tc>
              <w:tc>
                <w:tcPr/>
                <w:p>
                  <w:pPr>
                    <w:pStyle w:val="Compact"/>
                    <w:jc w:val="center"/>
                    <w:jc w:val="center"/>
                  </w:pPr>
                  <w:r>
                    <w:t xml:space="preserve">941</w:t>
                  </w:r>
                </w:p>
              </w:tc>
              <w:tc>
                <w:tcPr/>
                <w:p>
                  <w:pPr>
                    <w:pStyle w:val="Compact"/>
                    <w:jc w:val="center"/>
                    <w:jc w:val="center"/>
                  </w:pPr>
                  <w:r>
                    <w:t xml:space="preserve">1037</w:t>
                  </w:r>
                </w:p>
              </w:tc>
              <w:tc>
                <w:tcPr/>
                <w:p>
                  <w:pPr>
                    <w:pStyle w:val="Compact"/>
                    <w:jc w:val="center"/>
                    <w:jc w:val="center"/>
                  </w:pPr>
                  <w:r>
                    <w:t xml:space="preserve">534</w:t>
                  </w:r>
                </w:p>
              </w:tc>
              <w:tc>
                <w:tcPr/>
                <w:p>
                  <w:pPr>
                    <w:pStyle w:val="Compact"/>
                    <w:jc w:val="center"/>
                    <w:jc w:val="center"/>
                  </w:pPr>
                  <w:r>
                    <w:t xml:space="preserve">1.650</w:t>
                  </w:r>
                </w:p>
              </w:tc>
              <w:tc>
                <w:tcPr/>
                <w:p>
                  <w:pPr>
                    <w:pStyle w:val="Compact"/>
                    <w:jc w:val="center"/>
                    <w:jc w:val="center"/>
                  </w:pPr>
                  <w:r>
                    <w:t xml:space="preserve">38</w:t>
                  </w:r>
                </w:p>
              </w:tc>
            </w:tr>
            <w:tr>
              <w:tc>
                <w:tcPr/>
                <w:p>
                  <w:pPr>
                    <w:pStyle w:val="Compact"/>
                    <w:jc w:val="center"/>
                    <w:jc w:val="center"/>
                  </w:pPr>
                  <w:r>
                    <w:t xml:space="preserve">Total de aeródromos</w:t>
                  </w:r>
                </w:p>
              </w:tc>
              <w:tc>
                <w:tcPr/>
                <w:p>
                  <w:pPr>
                    <w:pStyle w:val="Compact"/>
                    <w:jc w:val="center"/>
                    <w:jc w:val="center"/>
                  </w:pPr>
                  <w:r>
                    <w:t xml:space="preserve">4.330</w:t>
                  </w:r>
                </w:p>
              </w:tc>
              <w:tc>
                <w:tcPr/>
                <w:p>
                  <w:pPr>
                    <w:pStyle w:val="Compact"/>
                    <w:jc w:val="center"/>
                    <w:jc w:val="center"/>
                  </w:pPr>
                  <w:r>
                    <w:t xml:space="preserve">966</w:t>
                  </w:r>
                </w:p>
              </w:tc>
              <w:tc>
                <w:tcPr/>
                <w:p>
                  <w:pPr>
                    <w:pStyle w:val="Compact"/>
                    <w:jc w:val="center"/>
                    <w:jc w:val="center"/>
                  </w:pPr>
                  <w:r>
                    <w:t xml:space="preserve">1.064</w:t>
                  </w:r>
                </w:p>
              </w:tc>
              <w:tc>
                <w:tcPr/>
                <w:p>
                  <w:pPr>
                    <w:pStyle w:val="Compact"/>
                    <w:jc w:val="center"/>
                    <w:jc w:val="center"/>
                  </w:pPr>
                  <w:r>
                    <w:t xml:space="preserve">561</w:t>
                  </w:r>
                </w:p>
              </w:tc>
              <w:tc>
                <w:tcPr/>
                <w:p>
                  <w:pPr>
                    <w:pStyle w:val="Compact"/>
                    <w:jc w:val="center"/>
                    <w:jc w:val="center"/>
                  </w:pPr>
                  <w:r>
                    <w:t xml:space="preserve">1.680</w:t>
                  </w:r>
                </w:p>
              </w:tc>
              <w:tc>
                <w:tcPr/>
                <w:p>
                  <w:pPr>
                    <w:pStyle w:val="Compact"/>
                    <w:jc w:val="center"/>
                    <w:jc w:val="center"/>
                  </w:pPr>
                  <w:r>
                    <w:t xml:space="preserve">59</w:t>
                  </w:r>
                </w:p>
              </w:tc>
            </w:tr>
          </w:tbl>
          <w:bookmarkEnd w:id="30"/>
          <w:p/>
        </w:tc>
      </w:tr>
    </w:tbl>
    <w:p>
      <w:pPr>
        <w:pStyle w:val="Corpodetexto"/>
      </w:pPr>
      <w:r>
        <w:t xml:space="preserve">NOTA 1: Nesta edição, foi utilizada a delimitação geográfica de cada FIR.</w:t>
      </w:r>
    </w:p>
    <w:p>
      <w:pPr>
        <w:pStyle w:val="Corpodetexto"/>
      </w:pPr>
      <w:r>
        <w:t xml:space="preserve">NOTA 2: As informações relativas aos ATCO foram extraídas do Sistema de Gestão de Pessoal Operacional (SGPO), com base nos detentores de licença em atividade, incluindo graduados militares BCT (ativa e reserva), estagiários, ATCO de Defesa Aérea, oficiais CTA e civis DACTA. No efetivo total do SISCEAB e no percentual operacional, são considerados militares alocados em unidades fora dos Regionais, excluindo-se aqueles em formação na Escola de Especialistas de Aeronáutica (EEAR). Foram incluídas informações específicas sobre operadores de outras Forças Armadas, da NAV BRASIL e demais PSNA.</w:t>
      </w:r>
    </w:p>
    <w:p>
      <w:pPr>
        <w:pStyle w:val="Corpodetexto"/>
      </w:pPr>
      <w:r>
        <w:t xml:space="preserve">NOTA 3: O volume de movimentos foi calculado por FIR/Regional com base nos dados de 01/01/2025 a 31/12/2025 do SETA Millenium, desconsiderando-se movimentos repetidos entre as localidades de origem e destino.</w:t>
      </w:r>
    </w:p>
    <w:p>
      <w:pPr>
        <w:pStyle w:val="Corpodetexto"/>
      </w:pPr>
      <w:r>
        <w:t xml:space="preserve">NOTA 4: A produtividade foi calculada na grandeza de mil voos por ATCO operacional.</w:t>
      </w:r>
    </w:p>
    <w:p>
      <w:pPr>
        <w:pStyle w:val="Corpodetexto"/>
      </w:pPr>
      <w:r>
        <w:t xml:space="preserve">NOTA 5: O</w:t>
      </w:r>
      <w:r>
        <w:t xml:space="preserve"> </w:t>
      </w:r>
      <w:r>
        <w:rPr>
          <w:i/>
          <w:iCs/>
        </w:rPr>
        <w:t xml:space="preserve">share</w:t>
      </w:r>
      <w:r>
        <w:t xml:space="preserve"> </w:t>
      </w:r>
      <w:r>
        <w:t xml:space="preserve">da aviação geral indica a participação deste segmento em relação ao total de movimentos.</w:t>
      </w:r>
    </w:p>
    <w:p>
      <w:pPr>
        <w:pStyle w:val="Corpodetexto"/>
      </w:pPr>
      <w:r>
        <w:t xml:space="preserve">NOTA 6: As informações sobre o quantitativo de ACC, APP, TWR e AFIS foram obtidas no AIP-Brasil, ROTAER e no Portal AISWEB, conforme o ANEXO A.</w:t>
      </w:r>
    </w:p>
    <w:p>
      <w:pPr>
        <w:pStyle w:val="Corpodetexto"/>
      </w:pPr>
      <w:r>
        <w:t xml:space="preserve">NOTA 7: A quantidade de aeródromos foi contabilizada conforme o ROTAER disponível no Portal AISWEB. Para o cálculo de aeródromos sem órgãos ATS, considerou-se o total de localidades que não possuem TWR, D-TWR, AFIS ou R-AFIS.</w:t>
      </w:r>
    </w:p>
    <w:p>
      <w:pPr>
        <w:pStyle w:val="Corpodetexto"/>
      </w:pPr>
      <w:r>
        <w:t xml:space="preserve">NOTA 8: A densidade do SISCEAB e do CINDACTA III foi calculada sem contabilizar a FIR Atlântico.</w:t>
      </w:r>
    </w:p>
    <w:p>
      <w:pPr>
        <w:pStyle w:val="Corpodetexto"/>
      </w:pPr>
      <w:r>
        <w:t xml:space="preserve">NOTA 9: Para o cálculo do</w:t>
      </w:r>
      <w:r>
        <w:t xml:space="preserve"> </w:t>
      </w:r>
      <w:r>
        <w:rPr>
          <w:i/>
          <w:iCs/>
        </w:rPr>
        <w:t xml:space="preserve">share</w:t>
      </w:r>
      <w:r>
        <w:t xml:space="preserve"> </w:t>
      </w:r>
      <w:r>
        <w:t xml:space="preserve">da aviação geral em 2025, adotou-se a metodologia TOTAL Brasil, baseada em dados de terminais. Em anos anteriores, a obtenção desse dado era realizada por meio da média por FIR.</w:t>
      </w:r>
    </w:p>
    <w:p>
      <w:pPr>
        <w:pStyle w:val="Corpodetexto"/>
      </w:pPr>
      <w:r>
        <w:t xml:space="preserve">NOTA* 10: Os quantitativos de ATCO operacionais, não operacionais e do efetivo total (COMAER) apresentados para o SISCEAB não correspondem à simples soma dos efetivos distribuídos entre os Órgãos Regionais (CINDACTA I, II, III, IV e CRCEA-SE). As diferenças observadas correspondem a 288 ATCO operacionais e 271 ATCO não operacionais, totalizando 559 militares pertencentes a outras organizações do COMAER, como DECEA, ICEA, CGNA, COMAE, entre outras, não vinculadas diretamente aos Órgãos Regionais.</w:t>
      </w:r>
    </w:p>
    <w:bookmarkEnd w:id="31"/>
    <w:bookmarkStart w:id="33" w:name="recomendações"/>
    <w:p>
      <w:pPr>
        <w:pStyle w:val="Ttulo1"/>
      </w:pPr>
      <w:r>
        <w:t xml:space="preserve">RECOMENDAÇÕES</w:t>
      </w:r>
    </w:p>
    <w:tbl>
      <w:tblPr>
        <w:tblStyle w:val="Table"/>
        <w:tblW w:type="pct" w:w="5000"/>
        <w:tblLayout w:type="fixed"/>
        <w:tblLook w:firstRow="0" w:lastRow="0" w:firstColumn="0" w:lastColumn="0" w:noHBand="0" w:noVBand="0" w:val="0000"/>
      </w:tblPr>
      <w:tblGrid>
        <w:gridCol w:w="7920"/>
      </w:tblGrid>
      <w:tr>
        <w:tc>
          <w:tcPr/>
          <w:bookmarkStart w:id="32" w:name="tbl-Recomendacoes"/>
          <w:p>
            <w:pPr>
              <w:jc w:val="center"/>
            </w:pPr>
            <w:pPr>
              <w:jc w:val="left"/>
              <w:spacing w:before="200"/>
              <w:pStyle w:val="ImageCaption"/>
            </w:pPr>
            <w:r>
              <w:t xml:space="preserve">Tabela 4: Recomendações para Aprimoramento Operacional e Estratégico</w:t>
            </w:r>
          </w:p>
          <w:tbl>
            <w:tblPr>
              <w:tblStyle w:val="Table"/>
              <w:tblW w:type="pct" w:w="5000"/>
              <w:tblLayout w:type="fixed"/>
              <w:tblLook w:firstRow="1" w:lastRow="0" w:firstColumn="0" w:lastColumn="0" w:noHBand="0" w:noVBand="0" w:val="0020"/>
            </w:tblPr>
            <w:tblGrid>
              <w:gridCol w:w="1482"/>
              <w:gridCol w:w="2814"/>
              <w:gridCol w:w="3623"/>
            </w:tblGrid>
            <w:tr>
              <w:trPr>
                <w:tblHeader w:val="on"/>
              </w:trPr>
              <w:tc>
                <w:tcPr/>
                <w:p>
                  <w:pPr>
                    <w:pStyle w:val="Compact"/>
                    <w:jc w:val="center"/>
                    <w:jc w:val="center"/>
                  </w:pPr>
                  <w:r>
                    <w:t xml:space="preserve">Recomendação</w:t>
                  </w:r>
                </w:p>
              </w:tc>
              <w:tc>
                <w:tcPr/>
                <w:p>
                  <w:pPr>
                    <w:pStyle w:val="Compact"/>
                    <w:jc w:val="center"/>
                    <w:jc w:val="center"/>
                  </w:pPr>
                  <w:r>
                    <w:t xml:space="preserve">Objetivo</w:t>
                  </w:r>
                </w:p>
              </w:tc>
              <w:tc>
                <w:tcPr/>
                <w:p>
                  <w:pPr>
                    <w:pStyle w:val="Compact"/>
                    <w:jc w:val="center"/>
                    <w:jc w:val="center"/>
                  </w:pPr>
                  <w:r>
                    <w:t xml:space="preserve">Benefício</w:t>
                  </w:r>
                </w:p>
              </w:tc>
            </w:tr>
            <w:tr>
              <w:tc>
                <w:tcPr/>
                <w:p>
                  <w:pPr>
                    <w:pStyle w:val="Compact"/>
                    <w:jc w:val="center"/>
                    <w:jc w:val="center"/>
                  </w:pPr>
                  <w:r>
                    <w:t xml:space="preserve">Otimizar a gestão da infraestrutura aeroportuária</w:t>
                  </w:r>
                </w:p>
              </w:tc>
              <w:tc>
                <w:tcPr/>
                <w:p>
                  <w:pPr>
                    <w:pStyle w:val="Compact"/>
                    <w:jc w:val="center"/>
                    <w:jc w:val="center"/>
                  </w:pPr>
                  <w:r>
                    <w:t xml:space="preserve">Mitigar gargalos e impactos no tempo de táxi em aeroportos-chave (Congonhas, Guarulhos), por meio da implementação de melhorias no solo.</w:t>
                  </w:r>
                </w:p>
              </w:tc>
              <w:tc>
                <w:tcPr/>
                <w:p>
                  <w:pPr>
                    <w:pStyle w:val="Compact"/>
                    <w:jc w:val="center"/>
                    <w:jc w:val="center"/>
                  </w:pPr>
                  <w:r>
                    <w:t xml:space="preserve">Diminuir o tempo de táxi nos aeroportos-chave, consequentemente reduzindo gastos com combustível e emissão de CO2.</w:t>
                  </w:r>
                </w:p>
              </w:tc>
            </w:tr>
            <w:tr>
              <w:tc>
                <w:tcPr/>
                <w:p>
                  <w:pPr>
                    <w:pStyle w:val="Compact"/>
                    <w:jc w:val="center"/>
                    <w:jc w:val="center"/>
                  </w:pPr>
                  <w:r>
                    <w:t xml:space="preserve">Expandir o uso de tecnologias de integração de dados entre sistemas de controle de tráfego aéreo.</w:t>
                  </w:r>
                </w:p>
              </w:tc>
              <w:tc>
                <w:tcPr/>
                <w:p>
                  <w:pPr>
                    <w:pStyle w:val="Compact"/>
                    <w:jc w:val="center"/>
                    <w:jc w:val="center"/>
                  </w:pPr>
                  <w:r>
                    <w:t xml:space="preserve">Aprimorar a fusão de informações operacionais, aperfeiçoando a previsibilidade e eficiência dos indicadores de performance.</w:t>
                  </w:r>
                </w:p>
              </w:tc>
              <w:tc>
                <w:tcPr/>
                <w:p>
                  <w:pPr>
                    <w:pStyle w:val="Compact"/>
                    <w:jc w:val="center"/>
                    <w:jc w:val="center"/>
                  </w:pPr>
                  <w:r>
                    <w:t xml:space="preserve">Obter indicadores de performance mais detalhados para otimização da performance do tráfego aéreo em diferentes fases do voo.</w:t>
                  </w:r>
                </w:p>
              </w:tc>
            </w:tr>
            <w:tr>
              <w:tc>
                <w:tcPr/>
                <w:p>
                  <w:pPr>
                    <w:pStyle w:val="Compact"/>
                    <w:jc w:val="center"/>
                    <w:jc w:val="center"/>
                  </w:pPr>
                  <w:r>
                    <w:t xml:space="preserve">Ampliar o alcance do projeto TOTAL ATM.</w:t>
                  </w:r>
                </w:p>
              </w:tc>
              <w:tc>
                <w:tcPr/>
                <w:p>
                  <w:pPr>
                    <w:pStyle w:val="Compact"/>
                    <w:jc w:val="center"/>
                    <w:jc w:val="center"/>
                  </w:pPr>
                  <w:r>
                    <w:t xml:space="preserve">Expandir sua implementação para todos os órgãos de controle, otimizar o fluxo de tráfego e a gestão de espaço aéreo.</w:t>
                  </w:r>
                </w:p>
              </w:tc>
              <w:tc>
                <w:tcPr/>
                <w:p>
                  <w:pPr>
                    <w:pStyle w:val="Compact"/>
                    <w:jc w:val="center"/>
                    <w:jc w:val="center"/>
                  </w:pPr>
                  <w:r>
                    <w:t xml:space="preserve">Otimizar a alocação de recursos operacionais, especialmente da mão de obra especializada dos controladores de tráfego aéreo (ATCO), além de fortalecer a capacidade de planejamento de médio e longo prazo das necessidades de recursos humanos.</w:t>
                  </w:r>
                </w:p>
              </w:tc>
            </w:tr>
            <w:tr>
              <w:tc>
                <w:tcPr/>
                <w:p>
                  <w:pPr>
                    <w:pStyle w:val="Compact"/>
                    <w:jc w:val="center"/>
                    <w:jc w:val="center"/>
                  </w:pPr>
                  <w:r>
                    <w:t xml:space="preserve">Fortalecer a colaboração entre o DECEA e a Comunidade ATM.</w:t>
                  </w:r>
                </w:p>
              </w:tc>
              <w:tc>
                <w:tcPr/>
                <w:p>
                  <w:pPr>
                    <w:pStyle w:val="Compact"/>
                    <w:jc w:val="center"/>
                    <w:jc w:val="center"/>
                  </w:pPr>
                  <w:r>
                    <w:t xml:space="preserve">Aprimorar a acessibilidade aos produtos informacionais, fomentar a participação ativa dos diversos atores do setor na construção de soluções mais eficazes para a gestão do tráfego aéreo.</w:t>
                  </w:r>
                </w:p>
              </w:tc>
              <w:tc>
                <w:tcPr/>
                <w:p>
                  <w:pPr>
                    <w:pStyle w:val="Compact"/>
                    <w:jc w:val="center"/>
                    <w:jc w:val="center"/>
                  </w:pPr>
                  <w:r>
                    <w:t xml:space="preserve">Promoção de inovação colaborativa, estimulando desenvolvimento de práticas e tecnologias compartilhadas que elevam a eficiência do sistema integrado.</w:t>
                  </w:r>
                </w:p>
              </w:tc>
            </w:tr>
            <w:tr>
              <w:tc>
                <w:tcPr/>
                <w:p>
                  <w:pPr>
                    <w:pStyle w:val="Compact"/>
                    <w:jc w:val="center"/>
                    <w:jc w:val="center"/>
                  </w:pPr>
                  <w:r>
                    <w:t xml:space="preserve">Reavaliar e ajustar os parâmetros operacionais para otimizar as medidas ATFM.</w:t>
                  </w:r>
                </w:p>
              </w:tc>
              <w:tc>
                <w:tcPr/>
                <w:p>
                  <w:pPr>
                    <w:pStyle w:val="Compact"/>
                    <w:jc w:val="center"/>
                    <w:jc w:val="center"/>
                  </w:pPr>
                  <w:r>
                    <w:t xml:space="preserve">Promover um melhor equilíbrio entre a aplicação de espaçamentos mínimos em voo e a utilização de medidas de retenção no solo (Ground Stops e GDP).</w:t>
                  </w:r>
                </w:p>
              </w:tc>
              <w:tc>
                <w:tcPr/>
                <w:p>
                  <w:pPr>
                    <w:pStyle w:val="Compact"/>
                    <w:jc w:val="center"/>
                    <w:jc w:val="center"/>
                  </w:pPr>
                  <w:r>
                    <w:t xml:space="preserve">Melhorar a gestão da capacidade do espaço aéreo, contribuindo para maior fluidez e redução de atrasos.</w:t>
                  </w:r>
                </w:p>
              </w:tc>
            </w:tr>
          </w:tbl>
          <w:bookmarkEnd w:id="32"/>
          <w:p/>
        </w:tc>
      </w:tr>
    </w:tbl>
    <w:p>
      <w:pPr>
        <w:pStyle w:val="Corpodetexto"/>
      </w:pPr>
      <w:r>
        <w:t xml:space="preserve">A implementação dessas recomendações contribuirá para a evolução do desempenho do SISCEAB, garantindo mais segurança, previsibilidade e eficiência nas operações aéreas. Ao fortalecer a infraestrutura, otimizar processos e promover a integração de dados e tecnologias, será possível elevar a qualidade dos serviços prestados, mitigar impactos operacionais e aprimorar a gestão do tráfego aéreo no Brasil.</w:t>
      </w:r>
    </w:p>
    <w:bookmarkEnd w:id="33"/>
    <w:bookmarkEnd w:id="34"/>
    <w:bookmarkStart w:id="45" w:name="introdução"/>
    <w:p>
      <w:pPr>
        <w:pStyle w:val="Ttulo1"/>
      </w:pPr>
      <w:r>
        <w:t xml:space="preserve">1. INTRODUÇÃO</w:t>
      </w:r>
    </w:p>
    <w:bookmarkStart w:id="35" w:name="gestão-por-performance"/>
    <w:p>
      <w:pPr>
        <w:pStyle w:val="Ttulo2"/>
      </w:pPr>
      <w:r>
        <w:t xml:space="preserve">1.1 GESTÃO POR PERFORMANCE</w:t>
      </w:r>
    </w:p>
    <w:p>
      <w:pPr>
        <w:pStyle w:val="FirstParagraph"/>
      </w:pPr>
      <w:r>
        <w:t xml:space="preserve">A Organização de Aviação Civil Internacional (OACI), agência especializada das Nações Unidas desde 1944, tem como missão garantir o crescimento seguro e ordenado da aviação civil global. Para isso, promove o desenvolvimento de princípios e técnicas para a navegação aérea internacional, incentivando a adoção de boas práticas e a evolução do transporte aéreo.</w:t>
      </w:r>
    </w:p>
    <w:p>
      <w:pPr>
        <w:pStyle w:val="Corpodetexto"/>
      </w:pPr>
      <w:r>
        <w:t xml:space="preserve">Entre suas diretrizes, a OACI destaca a gestão por performance, incentivando Estados e organizações a utilizarem Indicadores-Chave de Performance (KPIs –</w:t>
      </w:r>
      <w:r>
        <w:t xml:space="preserve"> </w:t>
      </w:r>
      <w:r>
        <w:rPr>
          <w:i/>
          <w:iCs/>
        </w:rPr>
        <w:t xml:space="preserve">Key Performance Indicators</w:t>
      </w:r>
      <w:r>
        <w:t xml:space="preserve">) para monitorar, comparar e aprimorar a eficiência do sistema de navegação aérea. O uso sistemático desses indicadores permite a priorização de investimentos, a identificação de tendências e a otimização contínua do desempenho operacional.</w:t>
      </w:r>
    </w:p>
    <w:p>
      <w:pPr>
        <w:pStyle w:val="Corpodetexto"/>
      </w:pPr>
      <w:r>
        <w:t xml:space="preserve">No Brasil, a Comissão de Performance ATM (CP-ATM) desempenha um papel central na implementação dessa abordagem dentro do Plano de Performance ATM do DECEA. Suas principais atividades incluem a definição de KPIs, a realização de análises pós-operação e a disponibilização de produtos para o monitoramento da performance do Sistema de Controle do Espaço Aéreo Brasileiro (SISCEAB). Esse trabalho contribui diretamente para o aprimoramento da gestão do espaço aéreo nacional, alinhando-se às melhores práticas internacionais.</w:t>
      </w:r>
    </w:p>
    <w:bookmarkEnd w:id="35"/>
    <w:bookmarkStart w:id="37" w:name="plano-global-de-navegação-aérea---ganp"/>
    <w:p>
      <w:pPr>
        <w:pStyle w:val="Ttulo2"/>
      </w:pPr>
      <w:r>
        <w:t xml:space="preserve">1.2 PLANO GLOBAL DE NAVEGAÇÃO AÉREA - GANP</w:t>
      </w:r>
    </w:p>
    <w:p>
      <w:pPr>
        <w:pStyle w:val="FirstParagraph"/>
      </w:pPr>
      <w:r>
        <w:t xml:space="preserve">O</w:t>
      </w:r>
      <w:r>
        <w:t xml:space="preserve"> </w:t>
      </w:r>
      <w:r>
        <w:rPr>
          <w:b/>
          <w:bCs/>
        </w:rPr>
        <w:t xml:space="preserve">Plano Global de Navegação Aérea (GANP – Global Air Navigation Plan)</w:t>
      </w:r>
      <w:r>
        <w:t xml:space="preserve"> </w:t>
      </w:r>
      <w:r>
        <w:t xml:space="preserve">é o principal instrumento estratégico da Organização da Aviação Civil Internacional (OACI) para orientar a modernização do</w:t>
      </w:r>
      <w:r>
        <w:t xml:space="preserve"> </w:t>
      </w:r>
      <w:r>
        <w:rPr>
          <w:b/>
          <w:bCs/>
        </w:rPr>
        <w:t xml:space="preserve">Gerenciamento de Tráfego Aéreo (ATM)</w:t>
      </w:r>
      <w:r>
        <w:t xml:space="preserve"> </w:t>
      </w:r>
      <w:r>
        <w:t xml:space="preserve">em nível mundial. Seu propósito é promover um desenvolvimento</w:t>
      </w:r>
      <w:r>
        <w:t xml:space="preserve"> </w:t>
      </w:r>
      <w:r>
        <w:rPr>
          <w:b/>
          <w:bCs/>
        </w:rPr>
        <w:t xml:space="preserve">harmonizado, interoperável e sustentável</w:t>
      </w:r>
      <w:r>
        <w:t xml:space="preserve"> </w:t>
      </w:r>
      <w:r>
        <w:t xml:space="preserve">do espaço aéreo global, alinhado às necessidades dos Estados e dos diversos atores da aviação.</w:t>
      </w:r>
    </w:p>
    <w:p>
      <w:pPr>
        <w:pStyle w:val="Corpodetexto"/>
      </w:pPr>
      <w:r>
        <w:t xml:space="preserve">O GANP estrutura-se a partir de</w:t>
      </w:r>
      <w:r>
        <w:t xml:space="preserve"> </w:t>
      </w:r>
      <w:r>
        <w:rPr>
          <w:b/>
          <w:bCs/>
        </w:rPr>
        <w:t xml:space="preserve">Áreas-Chave de Performance (KPAs – Key Performance Areas)</w:t>
      </w:r>
      <w:r>
        <w:t xml:space="preserve">, que abrangem dimensões como</w:t>
      </w:r>
      <w:r>
        <w:t xml:space="preserve"> </w:t>
      </w:r>
      <w:r>
        <w:rPr>
          <w:b/>
          <w:bCs/>
        </w:rPr>
        <w:t xml:space="preserve">segurança, capacidade, eficiência, previsibilidade, acesso, impacto ambiental e interoperabilidade</w:t>
      </w:r>
      <w:r>
        <w:t xml:space="preserve">. O plano também adota uma abordagem</w:t>
      </w:r>
      <w:r>
        <w:t xml:space="preserve"> </w:t>
      </w:r>
      <w:r>
        <w:rPr>
          <w:b/>
          <w:bCs/>
        </w:rPr>
        <w:t xml:space="preserve">modular e progressiva</w:t>
      </w:r>
      <w:r>
        <w:t xml:space="preserve">, permitindo que os Estados implementem inovações tecnológicas e operacionais de acordo com sua maturidade e necessidades operacionais.</w:t>
      </w:r>
    </w:p>
    <w:p>
      <w:pPr>
        <w:pStyle w:val="Corpodetexto"/>
      </w:pPr>
      <w:r>
        <w:t xml:space="preserve">Um dos pilares do GANP é o</w:t>
      </w:r>
      <w:r>
        <w:t xml:space="preserve"> </w:t>
      </w:r>
      <w:r>
        <w:rPr>
          <w:b/>
          <w:bCs/>
        </w:rPr>
        <w:t xml:space="preserve">Framework de Evolução por Blocos do Sistema de Aviação (ASBU – Aviation System Block Upgrades)</w:t>
      </w:r>
      <w:r>
        <w:t xml:space="preserve">, que orienta a implementação coordenada de capacidades tecnológicas e operacionais no sistema global de aviação.</w:t>
      </w:r>
    </w:p>
    <w:p>
      <w:pPr>
        <w:pStyle w:val="Corpodetexto"/>
      </w:pPr>
      <w:r>
        <w:t xml:space="preserve">Neste relatório, é analisado um subconjunto das KPAs do GANP, com foco na evolução do</w:t>
      </w:r>
      <w:r>
        <w:t xml:space="preserve"> </w:t>
      </w:r>
      <w:r>
        <w:rPr>
          <w:b/>
          <w:bCs/>
        </w:rPr>
        <w:t xml:space="preserve">Sistema de Controle do Espaço Aéreo Brasileiro (SISCEAB)</w:t>
      </w:r>
      <w:r>
        <w:t xml:space="preserve"> </w:t>
      </w:r>
      <w:r>
        <w:t xml:space="preserve">e em sua integração ao cenário global da aviação.</w:t>
      </w:r>
    </w:p>
    <w:p>
      <w:pPr>
        <w:pStyle w:val="Corpodetexto"/>
      </w:pPr>
      <w:r>
        <w:t xml:space="preserve">Mais informações sobre o GANP podem ser consultadas em:</w:t>
      </w:r>
      <w:r>
        <w:br/>
      </w:r>
      <w:hyperlink r:id="rId36">
        <w:r>
          <w:rPr>
            <w:rStyle w:val="Hyperlink"/>
          </w:rPr>
          <w:t xml:space="preserve">https://www.icao.int/global-air-navigation-plan-ganp</w:t>
        </w:r>
      </w:hyperlink>
    </w:p>
    <w:bookmarkEnd w:id="37"/>
    <w:bookmarkStart w:id="39" w:name="abrangência-temática"/>
    <w:p>
      <w:pPr>
        <w:pStyle w:val="Ttulo2"/>
      </w:pPr>
      <w:r>
        <w:t xml:space="preserve">1.3 ABRANGÊNCIA TEMÁTICA</w:t>
      </w:r>
    </w:p>
    <w:p>
      <w:pPr>
        <w:pStyle w:val="FirstParagraph"/>
      </w:pPr>
      <w:r>
        <w:t xml:space="preserve">Este relatório foca em um subconjunto das Áreas de Performance (KPAs) do GANP, seguindo as diretrizes do Plano de Performance ATM do DECEA. A</w:t>
      </w:r>
      <w:r>
        <w:t xml:space="preserve"> </w:t>
      </w:r>
      <w:hyperlink w:anchor="tbl-kpas">
        <w:r>
          <w:rPr>
            <w:rStyle w:val="Hyperlink"/>
          </w:rPr>
          <w:t xml:space="preserve">Tabela 1.1</w:t>
        </w:r>
      </w:hyperlink>
      <w:r>
        <w:t xml:space="preserve"> </w:t>
      </w:r>
      <w:r>
        <w:t xml:space="preserve">detalha os indicadores utilizados para análises comparativas entre órgãos ATS e prestadores de serviços de navegação aérea (PSNA), destacando particularidades, semelhanças e diferenças que possam contribuir para a otimização da performance no SISCEAB.</w:t>
      </w:r>
    </w:p>
    <w:p>
      <w:pPr>
        <w:pStyle w:val="Corpodetexto"/>
      </w:pPr>
      <w:r>
        <w:t xml:space="preserve">Além dos indicadores analisados, são apresentados projetos estratégicos relacionados ao ATM, cujos impactos são relevantes para a melhoria do desempenho operacional e a evolução do sistema como um todo.</w:t>
      </w:r>
    </w:p>
    <w:tbl>
      <w:tblPr>
        <w:tblStyle w:val="Table"/>
        <w:tblW w:type="pct" w:w="5000"/>
        <w:tblLayout w:type="fixed"/>
        <w:tblLook w:firstRow="0" w:lastRow="0" w:firstColumn="0" w:lastColumn="0" w:noHBand="0" w:noVBand="0" w:val="0000"/>
      </w:tblPr>
      <w:tblGrid>
        <w:gridCol w:w="7920"/>
      </w:tblGrid>
      <w:tr>
        <w:tc>
          <w:tcPr/>
          <w:bookmarkStart w:id="38" w:name="tbl-kpas"/>
          <w:p>
            <w:pPr>
              <w:jc w:val="center"/>
            </w:pPr>
            <w:pPr>
              <w:jc w:val="left"/>
              <w:spacing w:before="200"/>
              <w:pStyle w:val="ImageCaption"/>
            </w:pPr>
            <w:r>
              <w:t xml:space="preserve">Tabela 1.1: KPAs - Áreas de Perfomance</w:t>
            </w:r>
          </w:p>
          <w:tbl>
            <w:tblPr>
              <w:tblStyle w:val="Table"/>
              <w:tblW w:type="pct" w:w="5000"/>
              <w:tblLayout w:type="fixed"/>
              <w:tblLook w:firstRow="1" w:lastRow="0" w:firstColumn="0" w:lastColumn="0" w:noHBand="0" w:noVBand="0" w:val="0020"/>
            </w:tblPr>
            <w:tblGrid>
              <w:gridCol w:w="1390"/>
              <w:gridCol w:w="544"/>
              <w:gridCol w:w="5985"/>
            </w:tblGrid>
            <w:tr>
              <w:trPr>
                <w:tblHeader w:val="on"/>
              </w:trPr>
              <w:tc>
                <w:tcPr/>
                <w:p>
                  <w:pPr>
                    <w:pStyle w:val="Compact"/>
                    <w:jc w:val="center"/>
                    <w:jc w:val="center"/>
                  </w:pPr>
                  <w:r>
                    <w:t xml:space="preserve">KPA</w:t>
                  </w:r>
                </w:p>
              </w:tc>
              <w:tc>
                <w:tcPr/>
                <w:p>
                  <w:pPr>
                    <w:pStyle w:val="Compact"/>
                    <w:jc w:val="center"/>
                    <w:jc w:val="center"/>
                  </w:pPr>
                  <w:r>
                    <w:t xml:space="preserve">Código</w:t>
                  </w:r>
                </w:p>
              </w:tc>
              <w:tc>
                <w:tcPr/>
                <w:p>
                  <w:pPr>
                    <w:pStyle w:val="Compact"/>
                    <w:jc w:val="center"/>
                    <w:jc w:val="center"/>
                  </w:pPr>
                  <w:r>
                    <w:t xml:space="preserve">Indicadores</w:t>
                  </w:r>
                </w:p>
              </w:tc>
            </w:tr>
            <w:tr>
              <w:tc>
                <w:tcPr/>
                <w:p>
                  <w:pPr>
                    <w:pStyle w:val="Compact"/>
                    <w:jc w:val="center"/>
                    <w:jc w:val="center"/>
                  </w:pPr>
                  <w:r>
                    <w:t xml:space="preserve">Previsibilidade</w:t>
                  </w:r>
                </w:p>
              </w:tc>
              <w:tc>
                <w:tcPr/>
                <w:p>
                  <w:pPr>
                    <w:pStyle w:val="Compact"/>
                    <w:jc w:val="center"/>
                    <w:jc w:val="center"/>
                  </w:pPr>
                  <w:r>
                    <w:t xml:space="preserve">KPI 01</w:t>
                  </w:r>
                </w:p>
              </w:tc>
              <w:tc>
                <w:tcPr/>
                <w:p>
                  <w:pPr>
                    <w:pStyle w:val="Compact"/>
                    <w:jc w:val="center"/>
                    <w:jc w:val="center"/>
                  </w:pPr>
                  <w:r>
                    <w:t xml:space="preserve">Pontualidade de partida</w:t>
                  </w:r>
                </w:p>
              </w:tc>
            </w:tr>
            <w:tr>
              <w:tc>
                <w:tcPr/>
                <w:p>
                  <w:pPr>
                    <w:pStyle w:val="Compact"/>
                    <w:jc w:val="center"/>
                    <w:jc w:val="center"/>
                  </w:pPr>
                  <w:r>
                    <w:t xml:space="preserve">Previsibilidade</w:t>
                  </w:r>
                </w:p>
              </w:tc>
              <w:tc>
                <w:tcPr/>
                <w:p>
                  <w:pPr>
                    <w:pStyle w:val="Compact"/>
                    <w:jc w:val="center"/>
                    <w:jc w:val="center"/>
                  </w:pPr>
                  <w:r>
                    <w:t xml:space="preserve">KPI 14</w:t>
                  </w:r>
                </w:p>
              </w:tc>
              <w:tc>
                <w:tcPr/>
                <w:p>
                  <w:pPr>
                    <w:pStyle w:val="Compact"/>
                    <w:jc w:val="center"/>
                    <w:jc w:val="center"/>
                  </w:pPr>
                  <w:r>
                    <w:t xml:space="preserve">Pontualidade de chegada</w:t>
                  </w:r>
                </w:p>
              </w:tc>
            </w:tr>
            <w:tr>
              <w:tc>
                <w:tcPr/>
                <w:p>
                  <w:pPr>
                    <w:pStyle w:val="Compact"/>
                    <w:jc w:val="center"/>
                    <w:jc w:val="center"/>
                  </w:pPr>
                  <w:r>
                    <w:t xml:space="preserve">Previsibilidade</w:t>
                  </w:r>
                </w:p>
              </w:tc>
              <w:tc>
                <w:tcPr/>
                <w:p>
                  <w:pPr>
                    <w:pStyle w:val="Compact"/>
                    <w:jc w:val="center"/>
                    <w:jc w:val="center"/>
                  </w:pPr>
                  <w:r>
                    <w:t xml:space="preserve">KPI 15</w:t>
                  </w:r>
                </w:p>
              </w:tc>
              <w:tc>
                <w:tcPr/>
                <w:p>
                  <w:pPr>
                    <w:pStyle w:val="Compact"/>
                    <w:jc w:val="center"/>
                    <w:jc w:val="center"/>
                  </w:pPr>
                  <w:r>
                    <w:t xml:space="preserve">Variabilidade do tempo de voo (variante 1 - 70%)</w:t>
                  </w:r>
                </w:p>
              </w:tc>
            </w:tr>
            <w:tr>
              <w:tc>
                <w:tcPr/>
                <w:p>
                  <w:pPr>
                    <w:pStyle w:val="Compact"/>
                    <w:jc w:val="center"/>
                    <w:jc w:val="center"/>
                  </w:pPr>
                  <w:r>
                    <w:t xml:space="preserve">Eficiência</w:t>
                  </w:r>
                </w:p>
              </w:tc>
              <w:tc>
                <w:tcPr/>
                <w:p>
                  <w:pPr>
                    <w:pStyle w:val="Compact"/>
                    <w:jc w:val="center"/>
                    <w:jc w:val="center"/>
                  </w:pPr>
                  <w:r>
                    <w:t xml:space="preserve">KPI 02</w:t>
                  </w:r>
                </w:p>
              </w:tc>
              <w:tc>
                <w:tcPr/>
                <w:p>
                  <w:pPr>
                    <w:pStyle w:val="Compact"/>
                    <w:jc w:val="center"/>
                    <w:jc w:val="center"/>
                  </w:pPr>
                  <w:r>
                    <w:t xml:space="preserve">Tempo adicional de taxi-out</w:t>
                  </w:r>
                </w:p>
              </w:tc>
            </w:tr>
            <w:tr>
              <w:tc>
                <w:tcPr/>
                <w:p>
                  <w:pPr>
                    <w:pStyle w:val="Compact"/>
                    <w:jc w:val="center"/>
                    <w:jc w:val="center"/>
                  </w:pPr>
                  <w:r>
                    <w:t xml:space="preserve">Eficiência</w:t>
                  </w:r>
                </w:p>
              </w:tc>
              <w:tc>
                <w:tcPr/>
                <w:p>
                  <w:pPr>
                    <w:pStyle w:val="Compact"/>
                    <w:jc w:val="center"/>
                    <w:jc w:val="center"/>
                  </w:pPr>
                  <w:r>
                    <w:t xml:space="preserve">KPI 04</w:t>
                  </w:r>
                </w:p>
              </w:tc>
              <w:tc>
                <w:tcPr/>
                <w:p>
                  <w:pPr>
                    <w:pStyle w:val="Compact"/>
                    <w:jc w:val="center"/>
                    <w:jc w:val="center"/>
                  </w:pPr>
                  <w:r>
                    <w:t xml:space="preserve">Extensão em rota de plano de voo</w:t>
                  </w:r>
                </w:p>
              </w:tc>
            </w:tr>
            <w:tr>
              <w:tc>
                <w:tcPr/>
                <w:p>
                  <w:pPr>
                    <w:pStyle w:val="Compact"/>
                    <w:jc w:val="center"/>
                    <w:jc w:val="center"/>
                  </w:pPr>
                  <w:r>
                    <w:t xml:space="preserve">Eficiência</w:t>
                  </w:r>
                </w:p>
              </w:tc>
              <w:tc>
                <w:tcPr/>
                <w:p>
                  <w:pPr>
                    <w:pStyle w:val="Compact"/>
                    <w:jc w:val="center"/>
                    <w:jc w:val="center"/>
                  </w:pPr>
                  <w:r>
                    <w:t xml:space="preserve">KPI 05</w:t>
                  </w:r>
                </w:p>
              </w:tc>
              <w:tc>
                <w:tcPr/>
                <w:p>
                  <w:pPr>
                    <w:pStyle w:val="Compact"/>
                    <w:jc w:val="center"/>
                    <w:jc w:val="center"/>
                  </w:pPr>
                  <w:r>
                    <w:t xml:space="preserve">Extensão real da rota</w:t>
                  </w:r>
                </w:p>
              </w:tc>
            </w:tr>
            <w:tr>
              <w:tc>
                <w:tcPr/>
                <w:p>
                  <w:pPr>
                    <w:pStyle w:val="Compact"/>
                    <w:jc w:val="center"/>
                    <w:jc w:val="center"/>
                  </w:pPr>
                  <w:r>
                    <w:t xml:space="preserve">Eficiência</w:t>
                  </w:r>
                </w:p>
              </w:tc>
              <w:tc>
                <w:tcPr/>
                <w:p>
                  <w:pPr>
                    <w:pStyle w:val="Compact"/>
                    <w:jc w:val="center"/>
                    <w:jc w:val="center"/>
                  </w:pPr>
                  <w:r>
                    <w:t xml:space="preserve">KPI 08</w:t>
                  </w:r>
                </w:p>
              </w:tc>
              <w:tc>
                <w:tcPr/>
                <w:p>
                  <w:pPr>
                    <w:pStyle w:val="Compact"/>
                    <w:jc w:val="center"/>
                    <w:jc w:val="center"/>
                  </w:pPr>
                  <w:r>
                    <w:t xml:space="preserve">Tempo adicional em TMA (C100)</w:t>
                  </w:r>
                </w:p>
              </w:tc>
            </w:tr>
            <w:tr>
              <w:tc>
                <w:tcPr/>
                <w:p>
                  <w:pPr>
                    <w:pStyle w:val="Compact"/>
                    <w:jc w:val="center"/>
                    <w:jc w:val="center"/>
                  </w:pPr>
                  <w:r>
                    <w:t xml:space="preserve">Eficiência</w:t>
                  </w:r>
                </w:p>
              </w:tc>
              <w:tc>
                <w:tcPr/>
                <w:p>
                  <w:pPr>
                    <w:pStyle w:val="Compact"/>
                    <w:jc w:val="center"/>
                    <w:jc w:val="center"/>
                  </w:pPr>
                  <w:r>
                    <w:t xml:space="preserve">KPI 13</w:t>
                  </w:r>
                </w:p>
              </w:tc>
              <w:tc>
                <w:tcPr/>
                <w:p>
                  <w:pPr>
                    <w:pStyle w:val="Compact"/>
                    <w:jc w:val="center"/>
                    <w:jc w:val="center"/>
                  </w:pPr>
                  <w:r>
                    <w:t xml:space="preserve">Tempo adicional de taxi-in</w:t>
                  </w:r>
                </w:p>
              </w:tc>
            </w:tr>
            <w:tr>
              <w:tc>
                <w:tcPr/>
                <w:p>
                  <w:pPr>
                    <w:pStyle w:val="Compact"/>
                    <w:jc w:val="center"/>
                    <w:jc w:val="center"/>
                  </w:pPr>
                  <w:r>
                    <w:t xml:space="preserve">Eficiência</w:t>
                  </w:r>
                </w:p>
              </w:tc>
              <w:tc>
                <w:tcPr/>
                <w:p>
                  <w:pPr>
                    <w:pStyle w:val="Compact"/>
                    <w:jc w:val="center"/>
                    <w:jc w:val="center"/>
                  </w:pPr>
                  <w:r>
                    <w:t xml:space="preserve">KPI 17</w:t>
                  </w:r>
                </w:p>
              </w:tc>
              <w:tc>
                <w:tcPr/>
                <w:p>
                  <w:pPr>
                    <w:pStyle w:val="Compact"/>
                    <w:jc w:val="center"/>
                    <w:jc w:val="center"/>
                  </w:pPr>
                  <w:r>
                    <w:t xml:space="preserve">Nivelamento em subida</w:t>
                  </w:r>
                </w:p>
              </w:tc>
            </w:tr>
            <w:tr>
              <w:tc>
                <w:tcPr/>
                <w:p>
                  <w:pPr>
                    <w:pStyle w:val="Compact"/>
                    <w:jc w:val="center"/>
                    <w:jc w:val="center"/>
                  </w:pPr>
                  <w:r>
                    <w:t xml:space="preserve">Eficiência</w:t>
                  </w:r>
                </w:p>
              </w:tc>
              <w:tc>
                <w:tcPr/>
                <w:p>
                  <w:pPr>
                    <w:pStyle w:val="Compact"/>
                    <w:jc w:val="center"/>
                    <w:jc w:val="center"/>
                  </w:pPr>
                  <w:r>
                    <w:t xml:space="preserve">KPI 18</w:t>
                  </w:r>
                </w:p>
              </w:tc>
              <w:tc>
                <w:tcPr/>
                <w:p>
                  <w:pPr>
                    <w:pStyle w:val="Compact"/>
                    <w:jc w:val="center"/>
                    <w:jc w:val="center"/>
                  </w:pPr>
                  <w:r>
                    <w:t xml:space="preserve">Nivelamento em cruzeiro</w:t>
                  </w:r>
                </w:p>
              </w:tc>
            </w:tr>
            <w:tr>
              <w:tc>
                <w:tcPr/>
                <w:p>
                  <w:pPr>
                    <w:pStyle w:val="Compact"/>
                    <w:jc w:val="center"/>
                    <w:jc w:val="center"/>
                  </w:pPr>
                  <w:r>
                    <w:t xml:space="preserve">Eficiência</w:t>
                  </w:r>
                </w:p>
              </w:tc>
              <w:tc>
                <w:tcPr/>
                <w:p>
                  <w:pPr>
                    <w:pStyle w:val="Compact"/>
                    <w:jc w:val="center"/>
                    <w:jc w:val="center"/>
                  </w:pPr>
                  <w:r>
                    <w:t xml:space="preserve">KPI 19</w:t>
                  </w:r>
                </w:p>
              </w:tc>
              <w:tc>
                <w:tcPr/>
                <w:p>
                  <w:pPr>
                    <w:pStyle w:val="Compact"/>
                    <w:jc w:val="center"/>
                    <w:jc w:val="center"/>
                  </w:pPr>
                  <w:r>
                    <w:t xml:space="preserve">Nivelamento em descida</w:t>
                  </w:r>
                </w:p>
              </w:tc>
            </w:tr>
            <w:tr>
              <w:tc>
                <w:tcPr/>
                <w:p>
                  <w:pPr>
                    <w:pStyle w:val="Compact"/>
                    <w:jc w:val="center"/>
                    <w:jc w:val="center"/>
                  </w:pPr>
                  <w:r>
                    <w:t xml:space="preserve">Capacidade</w:t>
                  </w:r>
                </w:p>
              </w:tc>
              <w:tc>
                <w:tcPr/>
                <w:p>
                  <w:pPr>
                    <w:pStyle w:val="Compact"/>
                    <w:jc w:val="center"/>
                    <w:jc w:val="center"/>
                  </w:pPr>
                  <w:r>
                    <w:t xml:space="preserve">KPI 06</w:t>
                  </w:r>
                </w:p>
              </w:tc>
              <w:tc>
                <w:tcPr/>
                <w:p>
                  <w:pPr>
                    <w:pStyle w:val="Compact"/>
                    <w:jc w:val="center"/>
                    <w:jc w:val="center"/>
                  </w:pPr>
                  <w:r>
                    <w:t xml:space="preserve">Capacidade do espaço aéreo</w:t>
                  </w:r>
                </w:p>
              </w:tc>
            </w:tr>
            <w:tr>
              <w:tc>
                <w:tcPr/>
                <w:p>
                  <w:pPr>
                    <w:pStyle w:val="Compact"/>
                    <w:jc w:val="center"/>
                    <w:jc w:val="center"/>
                  </w:pPr>
                  <w:r>
                    <w:t xml:space="preserve">Capacidade</w:t>
                  </w:r>
                </w:p>
              </w:tc>
              <w:tc>
                <w:tcPr/>
                <w:p>
                  <w:pPr>
                    <w:pStyle w:val="Compact"/>
                    <w:jc w:val="center"/>
                    <w:jc w:val="center"/>
                  </w:pPr>
                  <w:r>
                    <w:t xml:space="preserve">KPI 09</w:t>
                  </w:r>
                </w:p>
              </w:tc>
              <w:tc>
                <w:tcPr/>
                <w:p>
                  <w:pPr>
                    <w:pStyle w:val="Compact"/>
                    <w:jc w:val="center"/>
                    <w:jc w:val="center"/>
                  </w:pPr>
                  <w:r>
                    <w:t xml:space="preserve">Capacidade declarada</w:t>
                  </w:r>
                </w:p>
              </w:tc>
            </w:tr>
            <w:tr>
              <w:tc>
                <w:tcPr/>
                <w:p>
                  <w:pPr>
                    <w:pStyle w:val="Compact"/>
                    <w:jc w:val="center"/>
                    <w:jc w:val="center"/>
                  </w:pPr>
                  <w:r>
                    <w:t xml:space="preserve">Capacidade</w:t>
                  </w:r>
                </w:p>
              </w:tc>
              <w:tc>
                <w:tcPr/>
                <w:p>
                  <w:pPr>
                    <w:pStyle w:val="Compact"/>
                    <w:jc w:val="center"/>
                    <w:jc w:val="center"/>
                  </w:pPr>
                  <w:r>
                    <w:t xml:space="preserve">KPI 10</w:t>
                  </w:r>
                </w:p>
              </w:tc>
              <w:tc>
                <w:tcPr/>
                <w:p>
                  <w:pPr>
                    <w:pStyle w:val="Compact"/>
                    <w:jc w:val="center"/>
                    <w:jc w:val="center"/>
                  </w:pPr>
                  <w:r>
                    <w:t xml:space="preserve">Taxa pico no aeroporto</w:t>
                  </w:r>
                </w:p>
              </w:tc>
            </w:tr>
            <w:tr>
              <w:tc>
                <w:tcPr/>
                <w:p>
                  <w:pPr>
                    <w:pStyle w:val="Compact"/>
                    <w:jc w:val="center"/>
                    <w:jc w:val="center"/>
                  </w:pPr>
                  <w:r>
                    <w:t xml:space="preserve">Capacidade</w:t>
                  </w:r>
                </w:p>
              </w:tc>
              <w:tc>
                <w:tcPr/>
                <w:p>
                  <w:pPr>
                    <w:pStyle w:val="Compact"/>
                    <w:jc w:val="center"/>
                    <w:jc w:val="center"/>
                  </w:pPr>
                  <w:r>
                    <w:t xml:space="preserve">IDBR 01</w:t>
                  </w:r>
                </w:p>
              </w:tc>
              <w:tc>
                <w:tcPr/>
                <w:p>
                  <w:pPr>
                    <w:pStyle w:val="Compact"/>
                    <w:jc w:val="center"/>
                    <w:jc w:val="center"/>
                  </w:pPr>
                  <w:r>
                    <w:t xml:space="preserve">Relação entre demanda x capacidade de pista</w:t>
                  </w:r>
                </w:p>
              </w:tc>
            </w:tr>
            <w:tr>
              <w:tc>
                <w:tcPr/>
                <w:p>
                  <w:pPr>
                    <w:pStyle w:val="Compact"/>
                    <w:jc w:val="center"/>
                    <w:jc w:val="center"/>
                  </w:pPr>
                  <w:r>
                    <w:t xml:space="preserve">Capacidade</w:t>
                  </w:r>
                </w:p>
              </w:tc>
              <w:tc>
                <w:tcPr/>
                <w:p>
                  <w:pPr>
                    <w:pStyle w:val="Compact"/>
                    <w:jc w:val="center"/>
                    <w:jc w:val="center"/>
                  </w:pPr>
                  <w:r>
                    <w:t xml:space="preserve">IDBR 07</w:t>
                  </w:r>
                </w:p>
              </w:tc>
              <w:tc>
                <w:tcPr/>
                <w:p>
                  <w:pPr>
                    <w:pStyle w:val="Compact"/>
                    <w:jc w:val="center"/>
                    <w:jc w:val="center"/>
                  </w:pPr>
                  <w:r>
                    <w:t xml:space="preserve">Relação entre demanda x capacidade de setor</w:t>
                  </w:r>
                </w:p>
              </w:tc>
            </w:tr>
            <w:tr>
              <w:tc>
                <w:tcPr/>
                <w:p>
                  <w:pPr>
                    <w:pStyle w:val="Compact"/>
                    <w:jc w:val="center"/>
                    <w:jc w:val="center"/>
                  </w:pPr>
                  <w:r>
                    <w:t xml:space="preserve">Custo-Benefício</w:t>
                  </w:r>
                </w:p>
              </w:tc>
              <w:tc>
                <w:tcPr/>
                <w:p>
                  <w:pPr>
                    <w:pStyle w:val="Compact"/>
                    <w:jc w:val="center"/>
                    <w:jc w:val="center"/>
                  </w:pPr>
                  <w:r>
                    <w:t xml:space="preserve">IDBR 06</w:t>
                  </w:r>
                </w:p>
              </w:tc>
              <w:tc>
                <w:tcPr/>
                <w:p>
                  <w:pPr>
                    <w:pStyle w:val="Compact"/>
                    <w:jc w:val="center"/>
                    <w:jc w:val="center"/>
                  </w:pPr>
                  <w:r>
                    <w:t xml:space="preserve">Horas de login x horas ATCO</w:t>
                  </w:r>
                </w:p>
              </w:tc>
            </w:tr>
            <w:tr>
              <w:tc>
                <w:tcPr/>
                <w:p>
                  <w:pPr>
                    <w:pStyle w:val="Compact"/>
                    <w:jc w:val="center"/>
                    <w:jc w:val="center"/>
                  </w:pPr>
                  <w:r>
                    <w:t xml:space="preserve">Custo-Benefício</w:t>
                  </w:r>
                </w:p>
              </w:tc>
              <w:tc>
                <w:tcPr/>
                <w:p>
                  <w:pPr>
                    <w:pStyle w:val="Compact"/>
                    <w:jc w:val="center"/>
                    <w:jc w:val="center"/>
                  </w:pPr>
                  <w:r>
                    <w:t xml:space="preserve">IDBR 08</w:t>
                  </w:r>
                </w:p>
              </w:tc>
              <w:tc>
                <w:tcPr/>
                <w:p>
                  <w:pPr>
                    <w:pStyle w:val="Compact"/>
                    <w:jc w:val="center"/>
                    <w:jc w:val="center"/>
                  </w:pPr>
                  <w:r>
                    <w:t xml:space="preserve">Índice de operacionalidade do ATCO</w:t>
                  </w:r>
                </w:p>
              </w:tc>
            </w:tr>
            <w:tr>
              <w:tc>
                <w:tcPr/>
                <w:p>
                  <w:pPr>
                    <w:pStyle w:val="Compact"/>
                    <w:jc w:val="center"/>
                    <w:jc w:val="center"/>
                  </w:pPr>
                  <w:r>
                    <w:t xml:space="preserve">Segurança Operacional</w:t>
                  </w:r>
                </w:p>
              </w:tc>
              <w:tc>
                <w:tcPr/>
                <w:p>
                  <w:pPr>
                    <w:pStyle w:val="Compact"/>
                    <w:jc w:val="center"/>
                    <w:jc w:val="center"/>
                  </w:pPr>
                  <w:r>
                    <w:t xml:space="preserve">KPI 21</w:t>
                  </w:r>
                </w:p>
              </w:tc>
              <w:tc>
                <w:tcPr/>
                <w:p>
                  <w:pPr>
                    <w:pStyle w:val="Compact"/>
                    <w:jc w:val="center"/>
                    <w:jc w:val="center"/>
                  </w:pPr>
                  <w:r>
                    <w:t xml:space="preserve">Runway Incursion (RI)</w:t>
                  </w:r>
                </w:p>
              </w:tc>
            </w:tr>
            <w:tr>
              <w:tc>
                <w:tcPr/>
                <w:p>
                  <w:pPr>
                    <w:pStyle w:val="Compact"/>
                    <w:jc w:val="center"/>
                    <w:jc w:val="center"/>
                  </w:pPr>
                  <w:r>
                    <w:t xml:space="preserve">Segurança Operacional</w:t>
                  </w:r>
                </w:p>
              </w:tc>
              <w:tc>
                <w:tcPr/>
                <w:p>
                  <w:pPr>
                    <w:pStyle w:val="Compact"/>
                    <w:jc w:val="center"/>
                    <w:jc w:val="center"/>
                  </w:pPr>
                  <w:r>
                    <w:t xml:space="preserve">KPI 23</w:t>
                  </w:r>
                </w:p>
              </w:tc>
              <w:tc>
                <w:tcPr/>
                <w:p>
                  <w:pPr>
                    <w:pStyle w:val="Compact"/>
                    <w:jc w:val="center"/>
                    <w:jc w:val="center"/>
                  </w:pPr>
                  <w:r>
                    <w:t xml:space="preserve">Incidente classificado como risco critico e como risco potencial - RICEA Resolution Advisory (RA)</w:t>
                  </w:r>
                </w:p>
              </w:tc>
            </w:tr>
            <w:tr>
              <w:tc>
                <w:tcPr/>
                <w:p>
                  <w:pPr>
                    <w:pStyle w:val="Compact"/>
                    <w:jc w:val="center"/>
                    <w:jc w:val="center"/>
                  </w:pPr>
                  <w:r>
                    <w:t xml:space="preserve">Participação ATM</w:t>
                  </w:r>
                </w:p>
              </w:tc>
              <w:tc>
                <w:tcPr/>
                <w:p>
                  <w:pPr>
                    <w:pStyle w:val="Compact"/>
                    <w:jc w:val="center"/>
                    <w:jc w:val="center"/>
                  </w:pPr>
                  <w:r>
                    <w:t xml:space="preserve">IDBR 09</w:t>
                  </w:r>
                </w:p>
              </w:tc>
              <w:tc>
                <w:tcPr/>
                <w:p>
                  <w:pPr>
                    <w:pStyle w:val="Compact"/>
                    <w:jc w:val="center"/>
                    <w:jc w:val="center"/>
                  </w:pPr>
                  <w:r>
                    <w:t xml:space="preserve">Grau de satisfação</w:t>
                  </w:r>
                </w:p>
              </w:tc>
            </w:tr>
            <w:tr>
              <w:tc>
                <w:tcPr/>
                <w:p>
                  <w:pPr>
                    <w:pStyle w:val="Compact"/>
                    <w:jc w:val="center"/>
                    <w:jc w:val="center"/>
                  </w:pPr>
                  <w:r>
                    <w:t xml:space="preserve">Segurança AVSEC</w:t>
                  </w:r>
                </w:p>
              </w:tc>
              <w:tc>
                <w:tcPr/>
                <w:p>
                  <w:pPr>
                    <w:pStyle w:val="Compact"/>
                    <w:jc w:val="center"/>
                    <w:jc w:val="center"/>
                  </w:pPr>
                  <w:r>
                    <w:t xml:space="preserve">NA</w:t>
                  </w:r>
                </w:p>
              </w:tc>
              <w:tc>
                <w:tcPr/>
                <w:p>
                  <w:pPr>
                    <w:pStyle w:val="Compact"/>
                    <w:jc w:val="center"/>
                    <w:jc w:val="center"/>
                  </w:pPr>
                  <w:r>
                    <w:t xml:space="preserve">Número de ocorrências AVSEC</w:t>
                  </w:r>
                </w:p>
              </w:tc>
            </w:tr>
          </w:tbl>
          <w:bookmarkEnd w:id="38"/>
          <w:p/>
        </w:tc>
      </w:tr>
    </w:tbl>
    <w:bookmarkEnd w:id="39"/>
    <w:bookmarkStart w:id="41" w:name="abrangência-geográfica"/>
    <w:p>
      <w:pPr>
        <w:pStyle w:val="Ttulo2"/>
      </w:pPr>
      <w:r>
        <w:t xml:space="preserve">1.4 ABRANGÊNCIA GEOGRÁFICA</w:t>
      </w:r>
    </w:p>
    <w:p>
      <w:pPr>
        <w:pStyle w:val="FirstParagraph"/>
      </w:pPr>
      <w:r>
        <w:t xml:space="preserve">Este relatório abrange todo o espaço aéreo sob responsabilidade do Brasil, incluindo tanto a área sobrejacente ao território nacional quanto uma extensa região do Oceano Atlântico, conforme estabelecido por tratados internacionais. Dessa forma, a gestão estratégica da Aeronáutica se estende para além das fronteiras do país, cobrindo um total de, aproximadamente,</w:t>
      </w:r>
      <w:r>
        <w:t xml:space="preserve"> </w:t>
      </w:r>
      <w:r>
        <w:rPr>
          <w:b/>
          <w:bCs/>
        </w:rPr>
        <w:t xml:space="preserve">22 milhões de km²</w:t>
      </w:r>
      <w:r>
        <w:t xml:space="preserve">.</w:t>
      </w:r>
    </w:p>
    <w:p>
      <w:pPr>
        <w:pStyle w:val="Corpodetexto"/>
      </w:pPr>
      <w:r>
        <w:t xml:space="preserve">No que se refere aos aeródromos analisados, foram selecionados 38 com maior movimento de voos comerciais ao longo de 2025, além de Campo de Marte e Jacarepaguá, dois aeródromos que, embora não atendam a esse critério, apresentam movimento significativo e relevância nacional, totalizando 40 aeroportos. Os aeródromos selecionados estão apresentados na Tabela 1.2, distribuídos conforme a jurisdição e responsabilidade administrativa das Organizações Regionais do DECEA (CINDACTA I, CINDACTA II, CINDACTA III, CINDACTA IV e CRCEA-SE).</w:t>
      </w:r>
    </w:p>
    <w:tbl>
      <w:tblPr>
        <w:tblStyle w:val="Table"/>
        <w:tblW w:type="pct" w:w="5000"/>
        <w:tblLayout w:type="fixed"/>
        <w:tblLook w:firstRow="0" w:lastRow="0" w:firstColumn="0" w:lastColumn="0" w:noHBand="0" w:noVBand="0" w:val="0000"/>
      </w:tblPr>
      <w:tblGrid>
        <w:gridCol w:w="7920"/>
      </w:tblGrid>
      <w:tr>
        <w:tc>
          <w:tcPr/>
          <w:bookmarkStart w:id="40" w:name="tbl-aeroportos-analisados"/>
          <w:p>
            <w:pPr>
              <w:jc w:val="center"/>
            </w:pPr>
            <w:pPr>
              <w:jc w:val="left"/>
              <w:spacing w:before="200"/>
              <w:pStyle w:val="ImageCaption"/>
            </w:pPr>
            <w:r>
              <w:t xml:space="preserve">Tabela 1.2: Aeroportos Analisados</w:t>
            </w:r>
          </w:p>
          <w:tbl>
            <w:tblPr>
              <w:tblStyle w:val="Table"/>
              <w:tblW w:type="pct" w:w="5000"/>
              <w:tblLayout w:type="fixed"/>
              <w:tblLook w:firstRow="1" w:lastRow="0" w:firstColumn="0" w:lastColumn="0" w:noHBand="0" w:noVBand="0" w:val="0020"/>
            </w:tblPr>
            <w:tblGrid>
              <w:gridCol w:w="1518"/>
              <w:gridCol w:w="1084"/>
              <w:gridCol w:w="5316"/>
            </w:tblGrid>
            <w:tr>
              <w:trPr>
                <w:tblHeader w:val="on"/>
              </w:trPr>
              <w:tc>
                <w:tcPr/>
                <w:p>
                  <w:pPr>
                    <w:pStyle w:val="Compact"/>
                    <w:jc w:val="center"/>
                    <w:jc w:val="center"/>
                  </w:pPr>
                  <w:r>
                    <w:t xml:space="preserve">Regional</w:t>
                  </w:r>
                </w:p>
              </w:tc>
              <w:tc>
                <w:tcPr/>
                <w:p>
                  <w:pPr>
                    <w:pStyle w:val="Compact"/>
                    <w:jc w:val="center"/>
                    <w:jc w:val="center"/>
                  </w:pPr>
                  <w:r>
                    <w:t xml:space="preserve">Cod OACI</w:t>
                  </w:r>
                </w:p>
              </w:tc>
              <w:tc>
                <w:tcPr/>
                <w:p>
                  <w:pPr>
                    <w:pStyle w:val="Compact"/>
                    <w:jc w:val="center"/>
                    <w:jc w:val="center"/>
                  </w:pPr>
                  <w:r>
                    <w:t xml:space="preserve">Cidade / Nome</w:t>
                  </w:r>
                </w:p>
              </w:tc>
            </w:tr>
            <w:tr>
              <w:tc>
                <w:tcPr/>
                <w:p>
                  <w:pPr>
                    <w:pStyle w:val="Compact"/>
                    <w:jc w:val="center"/>
                    <w:jc w:val="center"/>
                  </w:pPr>
                  <w:r>
                    <w:t xml:space="preserve">CINDACTA I</w:t>
                  </w:r>
                </w:p>
              </w:tc>
              <w:tc>
                <w:tcPr/>
                <w:p>
                  <w:pPr>
                    <w:pStyle w:val="Compact"/>
                    <w:jc w:val="center"/>
                    <w:jc w:val="center"/>
                  </w:pPr>
                  <w:r>
                    <w:t xml:space="preserve">SBBR</w:t>
                  </w:r>
                </w:p>
              </w:tc>
              <w:tc>
                <w:tcPr/>
                <w:p>
                  <w:pPr>
                    <w:pStyle w:val="Compact"/>
                    <w:jc w:val="center"/>
                    <w:jc w:val="center"/>
                  </w:pPr>
                  <w:r>
                    <w:t xml:space="preserve">BRASÍLIA / PRESIDENTE JUSCELINO KUBITSCHEK</w:t>
                  </w:r>
                </w:p>
              </w:tc>
            </w:tr>
            <w:tr>
              <w:tc>
                <w:tcPr/>
                <w:p>
                  <w:pPr>
                    <w:pStyle w:val="Compact"/>
                    <w:jc w:val="center"/>
                    <w:jc w:val="center"/>
                  </w:pPr>
                  <w:r>
                    <w:t xml:space="preserve">CINDACTA I</w:t>
                  </w:r>
                </w:p>
              </w:tc>
              <w:tc>
                <w:tcPr/>
                <w:p>
                  <w:pPr>
                    <w:pStyle w:val="Compact"/>
                    <w:jc w:val="center"/>
                    <w:jc w:val="center"/>
                  </w:pPr>
                  <w:r>
                    <w:t xml:space="preserve">SBCF</w:t>
                  </w:r>
                </w:p>
              </w:tc>
              <w:tc>
                <w:tcPr/>
                <w:p>
                  <w:pPr>
                    <w:pStyle w:val="Compact"/>
                    <w:jc w:val="center"/>
                    <w:jc w:val="center"/>
                  </w:pPr>
                  <w:r>
                    <w:t xml:space="preserve">BELO HORIZONTE / CONFINS - TANCREDO NEVES.</w:t>
                  </w:r>
                </w:p>
              </w:tc>
            </w:tr>
            <w:tr>
              <w:tc>
                <w:tcPr/>
                <w:p>
                  <w:pPr>
                    <w:pStyle w:val="Compact"/>
                    <w:jc w:val="center"/>
                    <w:jc w:val="center"/>
                  </w:pPr>
                  <w:r>
                    <w:t xml:space="preserve">CINDACTA I</w:t>
                  </w:r>
                </w:p>
              </w:tc>
              <w:tc>
                <w:tcPr/>
                <w:p>
                  <w:pPr>
                    <w:pStyle w:val="Compact"/>
                    <w:jc w:val="center"/>
                    <w:jc w:val="center"/>
                  </w:pPr>
                  <w:r>
                    <w:t xml:space="preserve">SBCY</w:t>
                  </w:r>
                </w:p>
              </w:tc>
              <w:tc>
                <w:tcPr/>
                <w:p>
                  <w:pPr>
                    <w:pStyle w:val="Compact"/>
                    <w:jc w:val="center"/>
                    <w:jc w:val="center"/>
                  </w:pPr>
                  <w:r>
                    <w:t xml:space="preserve">CUIABÁ / MARECHAL RONDON</w:t>
                  </w:r>
                </w:p>
              </w:tc>
            </w:tr>
            <w:tr>
              <w:tc>
                <w:tcPr/>
                <w:p>
                  <w:pPr>
                    <w:pStyle w:val="Compact"/>
                    <w:jc w:val="center"/>
                    <w:jc w:val="center"/>
                  </w:pPr>
                  <w:r>
                    <w:t xml:space="preserve">CINDACTA I</w:t>
                  </w:r>
                </w:p>
              </w:tc>
              <w:tc>
                <w:tcPr/>
                <w:p>
                  <w:pPr>
                    <w:pStyle w:val="Compact"/>
                    <w:jc w:val="center"/>
                    <w:jc w:val="center"/>
                  </w:pPr>
                  <w:r>
                    <w:t xml:space="preserve">SBGO</w:t>
                  </w:r>
                </w:p>
              </w:tc>
              <w:tc>
                <w:tcPr/>
                <w:p>
                  <w:pPr>
                    <w:pStyle w:val="Compact"/>
                    <w:jc w:val="center"/>
                    <w:jc w:val="center"/>
                  </w:pPr>
                  <w:r>
                    <w:t xml:space="preserve">GOIÂNIA / SANTA GENOVEVA</w:t>
                  </w:r>
                </w:p>
              </w:tc>
            </w:tr>
            <w:tr>
              <w:tc>
                <w:tcPr/>
                <w:p>
                  <w:pPr>
                    <w:pStyle w:val="Compact"/>
                    <w:jc w:val="center"/>
                    <w:jc w:val="center"/>
                  </w:pPr>
                  <w:r>
                    <w:t xml:space="preserve">CINDACTA I</w:t>
                  </w:r>
                </w:p>
              </w:tc>
              <w:tc>
                <w:tcPr/>
                <w:p>
                  <w:pPr>
                    <w:pStyle w:val="Compact"/>
                    <w:jc w:val="center"/>
                    <w:jc w:val="center"/>
                  </w:pPr>
                  <w:r>
                    <w:t xml:space="preserve">SBRP</w:t>
                  </w:r>
                </w:p>
              </w:tc>
              <w:tc>
                <w:tcPr/>
                <w:p>
                  <w:pPr>
                    <w:pStyle w:val="Compact"/>
                    <w:jc w:val="center"/>
                    <w:jc w:val="center"/>
                  </w:pPr>
                  <w:r>
                    <w:t xml:space="preserve">RIBEIRÃO PRETO - SBRP / LEITE LOPES</w:t>
                  </w:r>
                </w:p>
              </w:tc>
            </w:tr>
            <w:tr>
              <w:tc>
                <w:tcPr/>
                <w:p>
                  <w:pPr>
                    <w:pStyle w:val="Compact"/>
                    <w:jc w:val="center"/>
                    <w:jc w:val="center"/>
                  </w:pPr>
                  <w:r>
                    <w:t xml:space="preserve">CINDACTA I</w:t>
                  </w:r>
                </w:p>
              </w:tc>
              <w:tc>
                <w:tcPr/>
                <w:p>
                  <w:pPr>
                    <w:pStyle w:val="Compact"/>
                    <w:jc w:val="center"/>
                    <w:jc w:val="center"/>
                  </w:pPr>
                  <w:r>
                    <w:t xml:space="preserve">SBUL</w:t>
                  </w:r>
                </w:p>
              </w:tc>
              <w:tc>
                <w:tcPr/>
                <w:p>
                  <w:pPr>
                    <w:pStyle w:val="Compact"/>
                    <w:jc w:val="center"/>
                    <w:jc w:val="center"/>
                  </w:pPr>
                  <w:r>
                    <w:t xml:space="preserve">UBERLÂNDIA - SBUL / TEN CEL AV CÉSAR BOMBONATO</w:t>
                  </w:r>
                </w:p>
              </w:tc>
            </w:tr>
            <w:tr>
              <w:tc>
                <w:tcPr/>
                <w:p>
                  <w:pPr>
                    <w:pStyle w:val="Compact"/>
                    <w:jc w:val="center"/>
                    <w:jc w:val="center"/>
                  </w:pPr>
                  <w:r>
                    <w:t xml:space="preserve">CINDACTA II</w:t>
                  </w:r>
                </w:p>
              </w:tc>
              <w:tc>
                <w:tcPr/>
                <w:p>
                  <w:pPr>
                    <w:pStyle w:val="Compact"/>
                    <w:jc w:val="center"/>
                    <w:jc w:val="center"/>
                  </w:pPr>
                  <w:r>
                    <w:t xml:space="preserve">SBCG</w:t>
                  </w:r>
                </w:p>
              </w:tc>
              <w:tc>
                <w:tcPr/>
                <w:p>
                  <w:pPr>
                    <w:pStyle w:val="Compact"/>
                    <w:jc w:val="center"/>
                    <w:jc w:val="center"/>
                  </w:pPr>
                  <w:r>
                    <w:t xml:space="preserve">CAMPO GRANDE / CAMPO GRANDE</w:t>
                  </w:r>
                </w:p>
              </w:tc>
            </w:tr>
            <w:tr>
              <w:tc>
                <w:tcPr/>
                <w:p>
                  <w:pPr>
                    <w:pStyle w:val="Compact"/>
                    <w:jc w:val="center"/>
                    <w:jc w:val="center"/>
                  </w:pPr>
                  <w:r>
                    <w:t xml:space="preserve">CINDACTA II</w:t>
                  </w:r>
                </w:p>
              </w:tc>
              <w:tc>
                <w:tcPr/>
                <w:p>
                  <w:pPr>
                    <w:pStyle w:val="Compact"/>
                    <w:jc w:val="center"/>
                    <w:jc w:val="center"/>
                  </w:pPr>
                  <w:r>
                    <w:t xml:space="preserve">SBCT</w:t>
                  </w:r>
                </w:p>
              </w:tc>
              <w:tc>
                <w:tcPr/>
                <w:p>
                  <w:pPr>
                    <w:pStyle w:val="Compact"/>
                    <w:jc w:val="center"/>
                    <w:jc w:val="center"/>
                  </w:pPr>
                  <w:r>
                    <w:t xml:space="preserve">CURITIBA / AFONSO PENA</w:t>
                  </w:r>
                </w:p>
              </w:tc>
            </w:tr>
            <w:tr>
              <w:tc>
                <w:tcPr/>
                <w:p>
                  <w:pPr>
                    <w:pStyle w:val="Compact"/>
                    <w:jc w:val="center"/>
                    <w:jc w:val="center"/>
                  </w:pPr>
                  <w:r>
                    <w:t xml:space="preserve">CINDACTA II</w:t>
                  </w:r>
                </w:p>
              </w:tc>
              <w:tc>
                <w:tcPr/>
                <w:p>
                  <w:pPr>
                    <w:pStyle w:val="Compact"/>
                    <w:jc w:val="center"/>
                    <w:jc w:val="center"/>
                  </w:pPr>
                  <w:r>
                    <w:t xml:space="preserve">SBDN</w:t>
                  </w:r>
                </w:p>
              </w:tc>
              <w:tc>
                <w:tcPr/>
                <w:p>
                  <w:pPr>
                    <w:pStyle w:val="Compact"/>
                    <w:jc w:val="center"/>
                    <w:jc w:val="center"/>
                  </w:pPr>
                  <w:r>
                    <w:t xml:space="preserve">PRESIDENTE PRUDENTE / PRESIDENTE PRUDENTE</w:t>
                  </w:r>
                </w:p>
              </w:tc>
            </w:tr>
            <w:tr>
              <w:tc>
                <w:tcPr/>
                <w:p>
                  <w:pPr>
                    <w:pStyle w:val="Compact"/>
                    <w:jc w:val="center"/>
                    <w:jc w:val="center"/>
                  </w:pPr>
                  <w:r>
                    <w:t xml:space="preserve">CINDACTA II</w:t>
                  </w:r>
                </w:p>
              </w:tc>
              <w:tc>
                <w:tcPr/>
                <w:p>
                  <w:pPr>
                    <w:pStyle w:val="Compact"/>
                    <w:jc w:val="center"/>
                    <w:jc w:val="center"/>
                  </w:pPr>
                  <w:r>
                    <w:t xml:space="preserve">SBFI</w:t>
                  </w:r>
                </w:p>
              </w:tc>
              <w:tc>
                <w:tcPr/>
                <w:p>
                  <w:pPr>
                    <w:pStyle w:val="Compact"/>
                    <w:jc w:val="center"/>
                    <w:jc w:val="center"/>
                  </w:pPr>
                  <w:r>
                    <w:t xml:space="preserve">FOZ DO IGUAÇU / CATARATAS</w:t>
                  </w:r>
                </w:p>
              </w:tc>
            </w:tr>
            <w:tr>
              <w:tc>
                <w:tcPr/>
                <w:p>
                  <w:pPr>
                    <w:pStyle w:val="Compact"/>
                    <w:jc w:val="center"/>
                    <w:jc w:val="center"/>
                  </w:pPr>
                  <w:r>
                    <w:t xml:space="preserve">CINDACTA II</w:t>
                  </w:r>
                </w:p>
              </w:tc>
              <w:tc>
                <w:tcPr/>
                <w:p>
                  <w:pPr>
                    <w:pStyle w:val="Compact"/>
                    <w:jc w:val="center"/>
                    <w:jc w:val="center"/>
                  </w:pPr>
                  <w:r>
                    <w:t xml:space="preserve">SBFL</w:t>
                  </w:r>
                </w:p>
              </w:tc>
              <w:tc>
                <w:tcPr/>
                <w:p>
                  <w:pPr>
                    <w:pStyle w:val="Compact"/>
                    <w:jc w:val="center"/>
                    <w:jc w:val="center"/>
                  </w:pPr>
                  <w:r>
                    <w:t xml:space="preserve">FLORIANÓPOLIS / HERCÍLIO LUZ</w:t>
                  </w:r>
                </w:p>
              </w:tc>
            </w:tr>
            <w:tr>
              <w:tc>
                <w:tcPr/>
                <w:p>
                  <w:pPr>
                    <w:pStyle w:val="Compact"/>
                    <w:jc w:val="center"/>
                    <w:jc w:val="center"/>
                  </w:pPr>
                  <w:r>
                    <w:t xml:space="preserve">CINDACTA II</w:t>
                  </w:r>
                </w:p>
              </w:tc>
              <w:tc>
                <w:tcPr/>
                <w:p>
                  <w:pPr>
                    <w:pStyle w:val="Compact"/>
                    <w:jc w:val="center"/>
                    <w:jc w:val="center"/>
                  </w:pPr>
                  <w:r>
                    <w:t xml:space="preserve">SBJV</w:t>
                  </w:r>
                </w:p>
              </w:tc>
              <w:tc>
                <w:tcPr/>
                <w:p>
                  <w:pPr>
                    <w:pStyle w:val="Compact"/>
                    <w:jc w:val="center"/>
                    <w:jc w:val="center"/>
                  </w:pPr>
                  <w:r>
                    <w:t xml:space="preserve">JOINVILLE / LAURO CARNEIRO DE LOYOLA</w:t>
                  </w:r>
                </w:p>
              </w:tc>
            </w:tr>
            <w:tr>
              <w:tc>
                <w:tcPr/>
                <w:p>
                  <w:pPr>
                    <w:pStyle w:val="Compact"/>
                    <w:jc w:val="center"/>
                    <w:jc w:val="center"/>
                  </w:pPr>
                  <w:r>
                    <w:t xml:space="preserve">CINDACTA II</w:t>
                  </w:r>
                </w:p>
              </w:tc>
              <w:tc>
                <w:tcPr/>
                <w:p>
                  <w:pPr>
                    <w:pStyle w:val="Compact"/>
                    <w:jc w:val="center"/>
                    <w:jc w:val="center"/>
                  </w:pPr>
                  <w:r>
                    <w:t xml:space="preserve">SBLO</w:t>
                  </w:r>
                </w:p>
              </w:tc>
              <w:tc>
                <w:tcPr/>
                <w:p>
                  <w:pPr>
                    <w:pStyle w:val="Compact"/>
                    <w:jc w:val="center"/>
                    <w:jc w:val="center"/>
                  </w:pPr>
                  <w:r>
                    <w:t xml:space="preserve">LONDRINA / GOVERNADOR JOSÉ RICHA</w:t>
                  </w:r>
                </w:p>
              </w:tc>
            </w:tr>
            <w:tr>
              <w:tc>
                <w:tcPr/>
                <w:p>
                  <w:pPr>
                    <w:pStyle w:val="Compact"/>
                    <w:jc w:val="center"/>
                    <w:jc w:val="center"/>
                  </w:pPr>
                  <w:r>
                    <w:t xml:space="preserve">CINDACTA II</w:t>
                  </w:r>
                </w:p>
              </w:tc>
              <w:tc>
                <w:tcPr/>
                <w:p>
                  <w:pPr>
                    <w:pStyle w:val="Compact"/>
                    <w:jc w:val="center"/>
                    <w:jc w:val="center"/>
                  </w:pPr>
                  <w:r>
                    <w:t xml:space="preserve">SBMG</w:t>
                  </w:r>
                </w:p>
              </w:tc>
              <w:tc>
                <w:tcPr/>
                <w:p>
                  <w:pPr>
                    <w:pStyle w:val="Compact"/>
                    <w:jc w:val="center"/>
                    <w:jc w:val="center"/>
                  </w:pPr>
                  <w:r>
                    <w:t xml:space="preserve">MARINGÁ / SÍLVIO NAME JUNIOR</w:t>
                  </w:r>
                </w:p>
              </w:tc>
            </w:tr>
            <w:tr>
              <w:tc>
                <w:tcPr/>
                <w:p>
                  <w:pPr>
                    <w:pStyle w:val="Compact"/>
                    <w:jc w:val="center"/>
                    <w:jc w:val="center"/>
                  </w:pPr>
                  <w:r>
                    <w:t xml:space="preserve">CINDACTA II</w:t>
                  </w:r>
                </w:p>
              </w:tc>
              <w:tc>
                <w:tcPr/>
                <w:p>
                  <w:pPr>
                    <w:pStyle w:val="Compact"/>
                    <w:jc w:val="center"/>
                    <w:jc w:val="center"/>
                  </w:pPr>
                  <w:r>
                    <w:t xml:space="preserve">SBNF</w:t>
                  </w:r>
                </w:p>
              </w:tc>
              <w:tc>
                <w:tcPr/>
                <w:p>
                  <w:pPr>
                    <w:pStyle w:val="Compact"/>
                    <w:jc w:val="center"/>
                    <w:jc w:val="center"/>
                  </w:pPr>
                  <w:r>
                    <w:t xml:space="preserve">NAVEGANTES / MINISTRO VICTOR KONDER</w:t>
                  </w:r>
                </w:p>
              </w:tc>
            </w:tr>
            <w:tr>
              <w:tc>
                <w:tcPr/>
                <w:p>
                  <w:pPr>
                    <w:pStyle w:val="Compact"/>
                    <w:jc w:val="center"/>
                    <w:jc w:val="center"/>
                  </w:pPr>
                  <w:r>
                    <w:t xml:space="preserve">CINDACTA II</w:t>
                  </w:r>
                </w:p>
              </w:tc>
              <w:tc>
                <w:tcPr/>
                <w:p>
                  <w:pPr>
                    <w:pStyle w:val="Compact"/>
                    <w:jc w:val="center"/>
                    <w:jc w:val="center"/>
                  </w:pPr>
                  <w:r>
                    <w:t xml:space="preserve">SBPA</w:t>
                  </w:r>
                </w:p>
              </w:tc>
              <w:tc>
                <w:tcPr/>
                <w:p>
                  <w:pPr>
                    <w:pStyle w:val="Compact"/>
                    <w:jc w:val="center"/>
                    <w:jc w:val="center"/>
                  </w:pPr>
                  <w:r>
                    <w:t xml:space="preserve">PORTO ALEGRE / SALGADO FILHO</w:t>
                  </w:r>
                </w:p>
              </w:tc>
            </w:tr>
            <w:tr>
              <w:tc>
                <w:tcPr/>
                <w:p>
                  <w:pPr>
                    <w:pStyle w:val="Compact"/>
                    <w:jc w:val="center"/>
                    <w:jc w:val="center"/>
                  </w:pPr>
                  <w:r>
                    <w:t xml:space="preserve">CINDACTA III</w:t>
                  </w:r>
                </w:p>
              </w:tc>
              <w:tc>
                <w:tcPr/>
                <w:p>
                  <w:pPr>
                    <w:pStyle w:val="Compact"/>
                    <w:jc w:val="center"/>
                    <w:jc w:val="center"/>
                  </w:pPr>
                  <w:r>
                    <w:t xml:space="preserve">SBAR</w:t>
                  </w:r>
                </w:p>
              </w:tc>
              <w:tc>
                <w:tcPr/>
                <w:p>
                  <w:pPr>
                    <w:pStyle w:val="Compact"/>
                    <w:jc w:val="center"/>
                    <w:jc w:val="center"/>
                  </w:pPr>
                  <w:r>
                    <w:t xml:space="preserve">ARACAJU / SANTA MARIA</w:t>
                  </w:r>
                </w:p>
              </w:tc>
            </w:tr>
            <w:tr>
              <w:tc>
                <w:tcPr/>
                <w:p>
                  <w:pPr>
                    <w:pStyle w:val="Compact"/>
                    <w:jc w:val="center"/>
                    <w:jc w:val="center"/>
                  </w:pPr>
                  <w:r>
                    <w:t xml:space="preserve">CINDACTA III</w:t>
                  </w:r>
                </w:p>
              </w:tc>
              <w:tc>
                <w:tcPr/>
                <w:p>
                  <w:pPr>
                    <w:pStyle w:val="Compact"/>
                    <w:jc w:val="center"/>
                    <w:jc w:val="center"/>
                  </w:pPr>
                  <w:r>
                    <w:t xml:space="preserve">SBFN</w:t>
                  </w:r>
                </w:p>
              </w:tc>
              <w:tc>
                <w:tcPr/>
                <w:p>
                  <w:pPr>
                    <w:pStyle w:val="Compact"/>
                    <w:jc w:val="center"/>
                    <w:jc w:val="center"/>
                  </w:pPr>
                  <w:r>
                    <w:t xml:space="preserve">FERNANDO DE NORONHA / FERNANDO DE NORONHA</w:t>
                  </w:r>
                </w:p>
              </w:tc>
            </w:tr>
            <w:tr>
              <w:tc>
                <w:tcPr/>
                <w:p>
                  <w:pPr>
                    <w:pStyle w:val="Compact"/>
                    <w:jc w:val="center"/>
                    <w:jc w:val="center"/>
                  </w:pPr>
                  <w:r>
                    <w:t xml:space="preserve">CINDACTA III</w:t>
                  </w:r>
                </w:p>
              </w:tc>
              <w:tc>
                <w:tcPr/>
                <w:p>
                  <w:pPr>
                    <w:pStyle w:val="Compact"/>
                    <w:jc w:val="center"/>
                    <w:jc w:val="center"/>
                  </w:pPr>
                  <w:r>
                    <w:t xml:space="preserve">SBFZ</w:t>
                  </w:r>
                </w:p>
              </w:tc>
              <w:tc>
                <w:tcPr/>
                <w:p>
                  <w:pPr>
                    <w:pStyle w:val="Compact"/>
                    <w:jc w:val="center"/>
                    <w:jc w:val="center"/>
                  </w:pPr>
                  <w:r>
                    <w:t xml:space="preserve">FORTALEZA / PINTO MARTINS</w:t>
                  </w:r>
                </w:p>
              </w:tc>
            </w:tr>
            <w:tr>
              <w:tc>
                <w:tcPr/>
                <w:p>
                  <w:pPr>
                    <w:pStyle w:val="Compact"/>
                    <w:jc w:val="center"/>
                    <w:jc w:val="center"/>
                  </w:pPr>
                  <w:r>
                    <w:t xml:space="preserve">CINDACTA III</w:t>
                  </w:r>
                </w:p>
              </w:tc>
              <w:tc>
                <w:tcPr/>
                <w:p>
                  <w:pPr>
                    <w:pStyle w:val="Compact"/>
                    <w:jc w:val="center"/>
                    <w:jc w:val="center"/>
                  </w:pPr>
                  <w:r>
                    <w:t xml:space="preserve">SBJP</w:t>
                  </w:r>
                </w:p>
              </w:tc>
              <w:tc>
                <w:tcPr/>
                <w:p>
                  <w:pPr>
                    <w:pStyle w:val="Compact"/>
                    <w:jc w:val="center"/>
                    <w:jc w:val="center"/>
                  </w:pPr>
                  <w:r>
                    <w:t xml:space="preserve">JOÃO PESSOA / PRESIDENTE CASTRO PINTO</w:t>
                  </w:r>
                </w:p>
              </w:tc>
            </w:tr>
            <w:tr>
              <w:tc>
                <w:tcPr/>
                <w:p>
                  <w:pPr>
                    <w:pStyle w:val="Compact"/>
                    <w:jc w:val="center"/>
                    <w:jc w:val="center"/>
                  </w:pPr>
                  <w:r>
                    <w:t xml:space="preserve">CINDACTA III</w:t>
                  </w:r>
                </w:p>
              </w:tc>
              <w:tc>
                <w:tcPr/>
                <w:p>
                  <w:pPr>
                    <w:pStyle w:val="Compact"/>
                    <w:jc w:val="center"/>
                    <w:jc w:val="center"/>
                  </w:pPr>
                  <w:r>
                    <w:t xml:space="preserve">SBMO</w:t>
                  </w:r>
                </w:p>
              </w:tc>
              <w:tc>
                <w:tcPr/>
                <w:p>
                  <w:pPr>
                    <w:pStyle w:val="Compact"/>
                    <w:jc w:val="center"/>
                    <w:jc w:val="center"/>
                  </w:pPr>
                  <w:r>
                    <w:t xml:space="preserve">MACEIÓ / ZUMBI DOS PALMARES</w:t>
                  </w:r>
                </w:p>
              </w:tc>
            </w:tr>
            <w:tr>
              <w:tc>
                <w:tcPr/>
                <w:p>
                  <w:pPr>
                    <w:pStyle w:val="Compact"/>
                    <w:jc w:val="center"/>
                    <w:jc w:val="center"/>
                  </w:pPr>
                  <w:r>
                    <w:t xml:space="preserve">CINDACTA III</w:t>
                  </w:r>
                </w:p>
              </w:tc>
              <w:tc>
                <w:tcPr/>
                <w:p>
                  <w:pPr>
                    <w:pStyle w:val="Compact"/>
                    <w:jc w:val="center"/>
                    <w:jc w:val="center"/>
                  </w:pPr>
                  <w:r>
                    <w:t xml:space="preserve">SBPS</w:t>
                  </w:r>
                </w:p>
              </w:tc>
              <w:tc>
                <w:tcPr/>
                <w:p>
                  <w:pPr>
                    <w:pStyle w:val="Compact"/>
                    <w:jc w:val="center"/>
                    <w:jc w:val="center"/>
                  </w:pPr>
                  <w:r>
                    <w:t xml:space="preserve">PORTO SEGURO / PORTO SEGURO</w:t>
                  </w:r>
                </w:p>
              </w:tc>
            </w:tr>
            <w:tr>
              <w:tc>
                <w:tcPr/>
                <w:p>
                  <w:pPr>
                    <w:pStyle w:val="Compact"/>
                    <w:jc w:val="center"/>
                    <w:jc w:val="center"/>
                  </w:pPr>
                  <w:r>
                    <w:t xml:space="preserve">CINDACTA III</w:t>
                  </w:r>
                </w:p>
              </w:tc>
              <w:tc>
                <w:tcPr/>
                <w:p>
                  <w:pPr>
                    <w:pStyle w:val="Compact"/>
                    <w:jc w:val="center"/>
                    <w:jc w:val="center"/>
                  </w:pPr>
                  <w:r>
                    <w:t xml:space="preserve">SBRF</w:t>
                  </w:r>
                </w:p>
              </w:tc>
              <w:tc>
                <w:tcPr/>
                <w:p>
                  <w:pPr>
                    <w:pStyle w:val="Compact"/>
                    <w:jc w:val="center"/>
                    <w:jc w:val="center"/>
                  </w:pPr>
                  <w:r>
                    <w:t xml:space="preserve">RECIFE / GUARARAPES-GILBERTO FREYRE</w:t>
                  </w:r>
                </w:p>
              </w:tc>
            </w:tr>
            <w:tr>
              <w:tc>
                <w:tcPr/>
                <w:p>
                  <w:pPr>
                    <w:pStyle w:val="Compact"/>
                    <w:jc w:val="center"/>
                    <w:jc w:val="center"/>
                  </w:pPr>
                  <w:r>
                    <w:t xml:space="preserve">CINDACTA III</w:t>
                  </w:r>
                </w:p>
              </w:tc>
              <w:tc>
                <w:tcPr/>
                <w:p>
                  <w:pPr>
                    <w:pStyle w:val="Compact"/>
                    <w:jc w:val="center"/>
                    <w:jc w:val="center"/>
                  </w:pPr>
                  <w:r>
                    <w:t xml:space="preserve">SBSG</w:t>
                  </w:r>
                </w:p>
              </w:tc>
              <w:tc>
                <w:tcPr/>
                <w:p>
                  <w:pPr>
                    <w:pStyle w:val="Compact"/>
                    <w:jc w:val="center"/>
                    <w:jc w:val="center"/>
                  </w:pPr>
                  <w:r>
                    <w:t xml:space="preserve">NATAL / SÃO GONÇALO DO AMARANTE</w:t>
                  </w:r>
                </w:p>
              </w:tc>
            </w:tr>
            <w:tr>
              <w:tc>
                <w:tcPr/>
                <w:p>
                  <w:pPr>
                    <w:pStyle w:val="Compact"/>
                    <w:jc w:val="center"/>
                    <w:jc w:val="center"/>
                  </w:pPr>
                  <w:r>
                    <w:t xml:space="preserve">CINDACTA III</w:t>
                  </w:r>
                </w:p>
              </w:tc>
              <w:tc>
                <w:tcPr/>
                <w:p>
                  <w:pPr>
                    <w:pStyle w:val="Compact"/>
                    <w:jc w:val="center"/>
                    <w:jc w:val="center"/>
                  </w:pPr>
                  <w:r>
                    <w:t xml:space="preserve">SBSL</w:t>
                  </w:r>
                </w:p>
              </w:tc>
              <w:tc>
                <w:tcPr/>
                <w:p>
                  <w:pPr>
                    <w:pStyle w:val="Compact"/>
                    <w:jc w:val="center"/>
                    <w:jc w:val="center"/>
                  </w:pPr>
                  <w:r>
                    <w:t xml:space="preserve">SÃO LUÍS / MARECHAL CUNHA MACHADO</w:t>
                  </w:r>
                </w:p>
              </w:tc>
            </w:tr>
            <w:tr>
              <w:tc>
                <w:tcPr/>
                <w:p>
                  <w:pPr>
                    <w:pStyle w:val="Compact"/>
                    <w:jc w:val="center"/>
                    <w:jc w:val="center"/>
                  </w:pPr>
                  <w:r>
                    <w:t xml:space="preserve">CINDACTA III</w:t>
                  </w:r>
                </w:p>
              </w:tc>
              <w:tc>
                <w:tcPr/>
                <w:p>
                  <w:pPr>
                    <w:pStyle w:val="Compact"/>
                    <w:jc w:val="center"/>
                    <w:jc w:val="center"/>
                  </w:pPr>
                  <w:r>
                    <w:t xml:space="preserve">SBSV</w:t>
                  </w:r>
                </w:p>
              </w:tc>
              <w:tc>
                <w:tcPr/>
                <w:p>
                  <w:pPr>
                    <w:pStyle w:val="Compact"/>
                    <w:jc w:val="center"/>
                    <w:jc w:val="center"/>
                  </w:pPr>
                  <w:r>
                    <w:t xml:space="preserve">SALVADOR / DEPUTADO LUÍS EDUARDO MAGALHÃES</w:t>
                  </w:r>
                </w:p>
              </w:tc>
            </w:tr>
            <w:tr>
              <w:tc>
                <w:tcPr/>
                <w:p>
                  <w:pPr>
                    <w:pStyle w:val="Compact"/>
                    <w:jc w:val="center"/>
                    <w:jc w:val="center"/>
                  </w:pPr>
                  <w:r>
                    <w:t xml:space="preserve">CINDACTA III</w:t>
                  </w:r>
                </w:p>
              </w:tc>
              <w:tc>
                <w:tcPr/>
                <w:p>
                  <w:pPr>
                    <w:pStyle w:val="Compact"/>
                    <w:jc w:val="center"/>
                    <w:jc w:val="center"/>
                  </w:pPr>
                  <w:r>
                    <w:t xml:space="preserve">SBTE</w:t>
                  </w:r>
                </w:p>
              </w:tc>
              <w:tc>
                <w:tcPr/>
                <w:p>
                  <w:pPr>
                    <w:pStyle w:val="Compact"/>
                    <w:jc w:val="center"/>
                    <w:jc w:val="center"/>
                  </w:pPr>
                  <w:r>
                    <w:t xml:space="preserve">TERESINA / SENADOR PETRÔNIO PORTELLA</w:t>
                  </w:r>
                </w:p>
              </w:tc>
            </w:tr>
            <w:tr>
              <w:tc>
                <w:tcPr/>
                <w:p>
                  <w:pPr>
                    <w:pStyle w:val="Compact"/>
                    <w:jc w:val="center"/>
                    <w:jc w:val="center"/>
                  </w:pPr>
                  <w:r>
                    <w:t xml:space="preserve">CINDACTA III</w:t>
                  </w:r>
                </w:p>
              </w:tc>
              <w:tc>
                <w:tcPr/>
                <w:p>
                  <w:pPr>
                    <w:pStyle w:val="Compact"/>
                    <w:jc w:val="center"/>
                    <w:jc w:val="center"/>
                  </w:pPr>
                  <w:r>
                    <w:t xml:space="preserve">SBVT</w:t>
                  </w:r>
                </w:p>
              </w:tc>
              <w:tc>
                <w:tcPr/>
                <w:p>
                  <w:pPr>
                    <w:pStyle w:val="Compact"/>
                    <w:jc w:val="center"/>
                    <w:jc w:val="center"/>
                  </w:pPr>
                  <w:r>
                    <w:t xml:space="preserve">VITÓRIA / EURICO DE AGUIAR SALLES</w:t>
                  </w:r>
                </w:p>
              </w:tc>
            </w:tr>
            <w:tr>
              <w:tc>
                <w:tcPr/>
                <w:p>
                  <w:pPr>
                    <w:pStyle w:val="Compact"/>
                    <w:jc w:val="center"/>
                    <w:jc w:val="center"/>
                  </w:pPr>
                  <w:r>
                    <w:t xml:space="preserve">CINDACTA IV</w:t>
                  </w:r>
                </w:p>
              </w:tc>
              <w:tc>
                <w:tcPr/>
                <w:p>
                  <w:pPr>
                    <w:pStyle w:val="Compact"/>
                    <w:jc w:val="center"/>
                    <w:jc w:val="center"/>
                  </w:pPr>
                  <w:r>
                    <w:t xml:space="preserve">SBBE</w:t>
                  </w:r>
                </w:p>
              </w:tc>
              <w:tc>
                <w:tcPr/>
                <w:p>
                  <w:pPr>
                    <w:pStyle w:val="Compact"/>
                    <w:jc w:val="center"/>
                    <w:jc w:val="center"/>
                  </w:pPr>
                  <w:r>
                    <w:t xml:space="preserve">BELÉM / VAL DE CANS - JÚLIO CEZAR RIBEIRO</w:t>
                  </w:r>
                </w:p>
              </w:tc>
            </w:tr>
            <w:tr>
              <w:tc>
                <w:tcPr/>
                <w:p>
                  <w:pPr>
                    <w:pStyle w:val="Compact"/>
                    <w:jc w:val="center"/>
                    <w:jc w:val="center"/>
                  </w:pPr>
                  <w:r>
                    <w:t xml:space="preserve">CINDACTA IV</w:t>
                  </w:r>
                </w:p>
              </w:tc>
              <w:tc>
                <w:tcPr/>
                <w:p>
                  <w:pPr>
                    <w:pStyle w:val="Compact"/>
                    <w:jc w:val="center"/>
                    <w:jc w:val="center"/>
                  </w:pPr>
                  <w:r>
                    <w:t xml:space="preserve">SBBV</w:t>
                  </w:r>
                </w:p>
              </w:tc>
              <w:tc>
                <w:tcPr/>
                <w:p>
                  <w:pPr>
                    <w:pStyle w:val="Compact"/>
                    <w:jc w:val="center"/>
                    <w:jc w:val="center"/>
                  </w:pPr>
                  <w:r>
                    <w:t xml:space="preserve">BOA VISTA / ATLAS BRASIL CANTANHEDE</w:t>
                  </w:r>
                </w:p>
              </w:tc>
            </w:tr>
            <w:tr>
              <w:tc>
                <w:tcPr/>
                <w:p>
                  <w:pPr>
                    <w:pStyle w:val="Compact"/>
                    <w:jc w:val="center"/>
                    <w:jc w:val="center"/>
                  </w:pPr>
                  <w:r>
                    <w:t xml:space="preserve">CINDACTA IV</w:t>
                  </w:r>
                </w:p>
              </w:tc>
              <w:tc>
                <w:tcPr/>
                <w:p>
                  <w:pPr>
                    <w:pStyle w:val="Compact"/>
                    <w:jc w:val="center"/>
                    <w:jc w:val="center"/>
                  </w:pPr>
                  <w:r>
                    <w:t xml:space="preserve">SBEG</w:t>
                  </w:r>
                </w:p>
              </w:tc>
              <w:tc>
                <w:tcPr/>
                <w:p>
                  <w:pPr>
                    <w:pStyle w:val="Compact"/>
                    <w:jc w:val="center"/>
                    <w:jc w:val="center"/>
                  </w:pPr>
                  <w:r>
                    <w:t xml:space="preserve">MANAUS / EDUARDO GOMES</w:t>
                  </w:r>
                </w:p>
              </w:tc>
            </w:tr>
            <w:tr>
              <w:tc>
                <w:tcPr/>
                <w:p>
                  <w:pPr>
                    <w:pStyle w:val="Compact"/>
                    <w:jc w:val="center"/>
                    <w:jc w:val="center"/>
                  </w:pPr>
                  <w:r>
                    <w:t xml:space="preserve">CINDACTA IV</w:t>
                  </w:r>
                </w:p>
              </w:tc>
              <w:tc>
                <w:tcPr/>
                <w:p>
                  <w:pPr>
                    <w:pStyle w:val="Compact"/>
                    <w:jc w:val="center"/>
                    <w:jc w:val="center"/>
                  </w:pPr>
                  <w:r>
                    <w:t xml:space="preserve">SBPV</w:t>
                  </w:r>
                </w:p>
              </w:tc>
              <w:tc>
                <w:tcPr/>
                <w:p>
                  <w:pPr>
                    <w:pStyle w:val="Compact"/>
                    <w:jc w:val="center"/>
                    <w:jc w:val="center"/>
                  </w:pPr>
                  <w:r>
                    <w:t xml:space="preserve">PORTO VELHO / GOV JORGE TEIXEIRA DE OLIVEIRA</w:t>
                  </w:r>
                </w:p>
              </w:tc>
            </w:tr>
            <w:tr>
              <w:tc>
                <w:tcPr/>
                <w:p>
                  <w:pPr>
                    <w:pStyle w:val="Compact"/>
                    <w:jc w:val="center"/>
                    <w:jc w:val="center"/>
                  </w:pPr>
                  <w:r>
                    <w:t xml:space="preserve">CINDACTA IV</w:t>
                  </w:r>
                </w:p>
              </w:tc>
              <w:tc>
                <w:tcPr/>
                <w:p>
                  <w:pPr>
                    <w:pStyle w:val="Compact"/>
                    <w:jc w:val="center"/>
                    <w:jc w:val="center"/>
                  </w:pPr>
                  <w:r>
                    <w:t xml:space="preserve">SBRB</w:t>
                  </w:r>
                </w:p>
              </w:tc>
              <w:tc>
                <w:tcPr/>
                <w:p>
                  <w:pPr>
                    <w:pStyle w:val="Compact"/>
                    <w:jc w:val="center"/>
                    <w:jc w:val="center"/>
                  </w:pPr>
                  <w:r>
                    <w:t xml:space="preserve">RIO BRANCO / PLÁCIDO DE CASTRO</w:t>
                  </w:r>
                </w:p>
              </w:tc>
            </w:tr>
            <w:tr>
              <w:tc>
                <w:tcPr/>
                <w:p>
                  <w:pPr>
                    <w:pStyle w:val="Compact"/>
                    <w:jc w:val="center"/>
                    <w:jc w:val="center"/>
                  </w:pPr>
                  <w:r>
                    <w:t xml:space="preserve">CRCEA-SE</w:t>
                  </w:r>
                </w:p>
              </w:tc>
              <w:tc>
                <w:tcPr/>
                <w:p>
                  <w:pPr>
                    <w:pStyle w:val="Compact"/>
                    <w:jc w:val="center"/>
                    <w:jc w:val="center"/>
                  </w:pPr>
                  <w:r>
                    <w:t xml:space="preserve">SBGL</w:t>
                  </w:r>
                </w:p>
              </w:tc>
              <w:tc>
                <w:tcPr/>
                <w:p>
                  <w:pPr>
                    <w:pStyle w:val="Compact"/>
                    <w:jc w:val="center"/>
                    <w:jc w:val="center"/>
                  </w:pPr>
                  <w:r>
                    <w:t xml:space="preserve">RIO DE JANEIRO / GALEÃO - ANTÔNIO CARLOS JOBIM</w:t>
                  </w:r>
                </w:p>
              </w:tc>
            </w:tr>
            <w:tr>
              <w:tc>
                <w:tcPr/>
                <w:p>
                  <w:pPr>
                    <w:pStyle w:val="Compact"/>
                    <w:jc w:val="center"/>
                    <w:jc w:val="center"/>
                  </w:pPr>
                  <w:r>
                    <w:t xml:space="preserve">CRCEA-SE</w:t>
                  </w:r>
                </w:p>
              </w:tc>
              <w:tc>
                <w:tcPr/>
                <w:p>
                  <w:pPr>
                    <w:pStyle w:val="Compact"/>
                    <w:jc w:val="center"/>
                    <w:jc w:val="center"/>
                  </w:pPr>
                  <w:r>
                    <w:t xml:space="preserve">SBGR</w:t>
                  </w:r>
                </w:p>
              </w:tc>
              <w:tc>
                <w:tcPr/>
                <w:p>
                  <w:pPr>
                    <w:pStyle w:val="Compact"/>
                    <w:jc w:val="center"/>
                    <w:jc w:val="center"/>
                  </w:pPr>
                  <w:r>
                    <w:t xml:space="preserve">SÃO PAULO / GUARULHOS- GOV ANDRÉ FRANCO MONTORO</w:t>
                  </w:r>
                </w:p>
              </w:tc>
            </w:tr>
            <w:tr>
              <w:tc>
                <w:tcPr/>
                <w:p>
                  <w:pPr>
                    <w:pStyle w:val="Compact"/>
                    <w:jc w:val="center"/>
                    <w:jc w:val="center"/>
                  </w:pPr>
                  <w:r>
                    <w:t xml:space="preserve">CRCEA-SE</w:t>
                  </w:r>
                </w:p>
              </w:tc>
              <w:tc>
                <w:tcPr/>
                <w:p>
                  <w:pPr>
                    <w:pStyle w:val="Compact"/>
                    <w:jc w:val="center"/>
                    <w:jc w:val="center"/>
                  </w:pPr>
                  <w:r>
                    <w:t xml:space="preserve">SBJR</w:t>
                  </w:r>
                </w:p>
              </w:tc>
              <w:tc>
                <w:tcPr/>
                <w:p>
                  <w:pPr>
                    <w:pStyle w:val="Compact"/>
                    <w:jc w:val="center"/>
                    <w:jc w:val="center"/>
                  </w:pPr>
                  <w:r>
                    <w:t xml:space="preserve">RIO DE JANEIRO / JACAREPAGUÁ-ROBERTO MARINHO</w:t>
                  </w:r>
                </w:p>
              </w:tc>
            </w:tr>
            <w:tr>
              <w:tc>
                <w:tcPr/>
                <w:p>
                  <w:pPr>
                    <w:pStyle w:val="Compact"/>
                    <w:jc w:val="center"/>
                    <w:jc w:val="center"/>
                  </w:pPr>
                  <w:r>
                    <w:t xml:space="preserve">CRCEA-SE</w:t>
                  </w:r>
                </w:p>
              </w:tc>
              <w:tc>
                <w:tcPr/>
                <w:p>
                  <w:pPr>
                    <w:pStyle w:val="Compact"/>
                    <w:jc w:val="center"/>
                    <w:jc w:val="center"/>
                  </w:pPr>
                  <w:r>
                    <w:t xml:space="preserve">SBKP</w:t>
                  </w:r>
                </w:p>
              </w:tc>
              <w:tc>
                <w:tcPr/>
                <w:p>
                  <w:pPr>
                    <w:pStyle w:val="Compact"/>
                    <w:jc w:val="center"/>
                    <w:jc w:val="center"/>
                  </w:pPr>
                  <w:r>
                    <w:t xml:space="preserve">CAMPINAS / VIRACOPOS</w:t>
                  </w:r>
                </w:p>
              </w:tc>
            </w:tr>
            <w:tr>
              <w:tc>
                <w:tcPr/>
                <w:p>
                  <w:pPr>
                    <w:pStyle w:val="Compact"/>
                    <w:jc w:val="center"/>
                    <w:jc w:val="center"/>
                  </w:pPr>
                  <w:r>
                    <w:t xml:space="preserve">CRCEA-SE</w:t>
                  </w:r>
                </w:p>
              </w:tc>
              <w:tc>
                <w:tcPr/>
                <w:p>
                  <w:pPr>
                    <w:pStyle w:val="Compact"/>
                    <w:jc w:val="center"/>
                    <w:jc w:val="center"/>
                  </w:pPr>
                  <w:r>
                    <w:t xml:space="preserve">SBMT</w:t>
                  </w:r>
                </w:p>
              </w:tc>
              <w:tc>
                <w:tcPr/>
                <w:p>
                  <w:pPr>
                    <w:pStyle w:val="Compact"/>
                    <w:jc w:val="center"/>
                    <w:jc w:val="center"/>
                  </w:pPr>
                  <w:r>
                    <w:t xml:space="preserve">SÃO PAULO / CAMPO DE MARTE</w:t>
                  </w:r>
                </w:p>
              </w:tc>
            </w:tr>
            <w:tr>
              <w:tc>
                <w:tcPr/>
                <w:p>
                  <w:pPr>
                    <w:pStyle w:val="Compact"/>
                    <w:jc w:val="center"/>
                    <w:jc w:val="center"/>
                  </w:pPr>
                  <w:r>
                    <w:t xml:space="preserve">CRCEA-SE</w:t>
                  </w:r>
                </w:p>
              </w:tc>
              <w:tc>
                <w:tcPr/>
                <w:p>
                  <w:pPr>
                    <w:pStyle w:val="Compact"/>
                    <w:jc w:val="center"/>
                    <w:jc w:val="center"/>
                  </w:pPr>
                  <w:r>
                    <w:t xml:space="preserve">SBRJ</w:t>
                  </w:r>
                </w:p>
              </w:tc>
              <w:tc>
                <w:tcPr/>
                <w:p>
                  <w:pPr>
                    <w:pStyle w:val="Compact"/>
                    <w:jc w:val="center"/>
                    <w:jc w:val="center"/>
                  </w:pPr>
                  <w:r>
                    <w:t xml:space="preserve">RIO DE JANEIRO / SANTOS DUMONT</w:t>
                  </w:r>
                </w:p>
              </w:tc>
            </w:tr>
            <w:tr>
              <w:tc>
                <w:tcPr/>
                <w:p>
                  <w:pPr>
                    <w:pStyle w:val="Compact"/>
                    <w:jc w:val="center"/>
                    <w:jc w:val="center"/>
                  </w:pPr>
                  <w:r>
                    <w:t xml:space="preserve">CRCEA-SE</w:t>
                  </w:r>
                </w:p>
              </w:tc>
              <w:tc>
                <w:tcPr/>
                <w:p>
                  <w:pPr>
                    <w:pStyle w:val="Compact"/>
                    <w:jc w:val="center"/>
                    <w:jc w:val="center"/>
                  </w:pPr>
                  <w:r>
                    <w:t xml:space="preserve">SBSP</w:t>
                  </w:r>
                </w:p>
              </w:tc>
              <w:tc>
                <w:tcPr/>
                <w:p>
                  <w:pPr>
                    <w:pStyle w:val="Compact"/>
                    <w:jc w:val="center"/>
                    <w:jc w:val="center"/>
                  </w:pPr>
                  <w:r>
                    <w:t xml:space="preserve">SÃO PAULO / CONGONHAS - DEPUTADO FREITAS NOBRE</w:t>
                  </w:r>
                </w:p>
              </w:tc>
            </w:tr>
          </w:tbl>
          <w:bookmarkEnd w:id="40"/>
          <w:p/>
        </w:tc>
      </w:tr>
    </w:tbl>
    <w:bookmarkEnd w:id="41"/>
    <w:bookmarkStart w:id="42" w:name="abrangência-temporal"/>
    <w:p>
      <w:pPr>
        <w:pStyle w:val="Ttulo2"/>
      </w:pPr>
      <w:r>
        <w:t xml:space="preserve">1.5 ABRANGÊNCIA TEMPORAL</w:t>
      </w:r>
    </w:p>
    <w:p>
      <w:pPr>
        <w:pStyle w:val="FirstParagraph"/>
      </w:pPr>
      <w:r>
        <w:t xml:space="preserve">Este relatório aborda a performance monitorada no SISCEAB para o período de 1º de janeiro a 31 de dezembro de 2025.</w:t>
      </w:r>
    </w:p>
    <w:bookmarkEnd w:id="42"/>
    <w:bookmarkStart w:id="44" w:name="fontes-de-dados"/>
    <w:p>
      <w:pPr>
        <w:pStyle w:val="Ttulo2"/>
      </w:pPr>
      <w:r>
        <w:t xml:space="preserve">1.6 FONTES DE DADOS</w:t>
      </w:r>
    </w:p>
    <w:p>
      <w:pPr>
        <w:pStyle w:val="FirstParagraph"/>
      </w:pPr>
      <w:r>
        <w:t xml:space="preserve">Os indicadores de performance ATM analisados neste relatório, assim como os dados de movimento de tráfego aéreo e outras informações apresentadas, baseiam-se nas fontes de dados listadas na</w:t>
      </w:r>
      <w:r>
        <w:t xml:space="preserve"> </w:t>
      </w:r>
      <w:hyperlink w:anchor="tbl-fontes-dados">
        <w:r>
          <w:rPr>
            <w:rStyle w:val="Hyperlink"/>
          </w:rPr>
          <w:t xml:space="preserve">Tabela 1.3</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43" w:name="tbl-fontes-dados"/>
          <w:p>
            <w:pPr>
              <w:jc w:val="center"/>
            </w:pPr>
            <w:pPr>
              <w:jc w:val="left"/>
              <w:spacing w:before="200"/>
              <w:pStyle w:val="ImageCaption"/>
            </w:pPr>
            <w:r>
              <w:t xml:space="preserve">Tabela 1.3: Fonte de Dados e Correspondência dos Indicadores</w:t>
            </w:r>
          </w:p>
          <w:tbl>
            <w:tblPr>
              <w:tblStyle w:val="Table"/>
              <w:tblW w:type="pct" w:w="5000"/>
              <w:tblLayout w:type="fixed"/>
              <w:tblLook w:firstRow="1" w:lastRow="0" w:firstColumn="0" w:lastColumn="0" w:noHBand="0" w:noVBand="0" w:val="0020"/>
            </w:tblPr>
            <w:tblGrid>
              <w:gridCol w:w="660"/>
              <w:gridCol w:w="427"/>
              <w:gridCol w:w="5241"/>
              <w:gridCol w:w="1591"/>
            </w:tblGrid>
            <w:tr>
              <w:trPr>
                <w:tblHeader w:val="on"/>
              </w:trPr>
              <w:tc>
                <w:tcPr/>
                <w:p>
                  <w:pPr>
                    <w:pStyle w:val="Compact"/>
                    <w:jc w:val="center"/>
                    <w:jc w:val="center"/>
                  </w:pPr>
                  <w:r>
                    <w:t xml:space="preserve">FONTE DE DADOS</w:t>
                  </w:r>
                </w:p>
              </w:tc>
              <w:tc>
                <w:tcPr/>
                <w:p>
                  <w:pPr>
                    <w:pStyle w:val="Compact"/>
                    <w:jc w:val="center"/>
                    <w:jc w:val="center"/>
                  </w:pPr>
                  <w:r>
                    <w:t xml:space="preserve">QTD DE AD</w:t>
                  </w:r>
                </w:p>
              </w:tc>
              <w:tc>
                <w:tcPr/>
                <w:p>
                  <w:pPr>
                    <w:pStyle w:val="Compact"/>
                    <w:jc w:val="center"/>
                    <w:jc w:val="center"/>
                  </w:pPr>
                  <w:r>
                    <w:t xml:space="preserve">DESCRIÇÃO DA BASE</w:t>
                  </w:r>
                </w:p>
              </w:tc>
              <w:tc>
                <w:tcPr/>
                <w:p>
                  <w:pPr>
                    <w:pStyle w:val="Compact"/>
                    <w:jc w:val="center"/>
                    <w:jc w:val="center"/>
                  </w:pPr>
                  <w:r>
                    <w:t xml:space="preserve">CORRESPONDÊNCIA COM INDICADORES</w:t>
                  </w:r>
                </w:p>
              </w:tc>
            </w:tr>
            <w:tr>
              <w:tc>
                <w:tcPr/>
                <w:p>
                  <w:pPr>
                    <w:pStyle w:val="Compact"/>
                    <w:jc w:val="center"/>
                    <w:jc w:val="center"/>
                  </w:pPr>
                  <w:r>
                    <w:t xml:space="preserve">BDC</w:t>
                  </w:r>
                </w:p>
              </w:tc>
              <w:tc>
                <w:tcPr/>
                <w:p>
                  <w:pPr>
                    <w:pStyle w:val="Compact"/>
                    <w:jc w:val="center"/>
                    <w:jc w:val="center"/>
                  </w:pPr>
                  <w:r>
                    <w:t xml:space="preserve">51</w:t>
                  </w:r>
                </w:p>
              </w:tc>
              <w:tc>
                <w:tcPr/>
                <w:p>
                  <w:pPr>
                    <w:pStyle w:val="Compact"/>
                    <w:jc w:val="center"/>
                    <w:jc w:val="center"/>
                  </w:pPr>
                  <w:r>
                    <w:t xml:space="preserve">Banco de dados Climatológicos que apresenta dados de estações meteorológicas de superfície e altitude, operadas no âmbito do SISCEAB.</w:t>
                  </w:r>
                </w:p>
              </w:tc>
              <w:tc>
                <w:tcPr/>
                <w:p>
                  <w:pPr>
                    <w:pStyle w:val="Compact"/>
                    <w:jc w:val="center"/>
                    <w:jc w:val="center"/>
                  </w:pPr>
                  <w:r>
                    <w:t xml:space="preserve">Visibilidade e teto nos aeródromos</w:t>
                  </w:r>
                </w:p>
              </w:tc>
            </w:tr>
            <w:tr>
              <w:tc>
                <w:tcPr/>
                <w:p>
                  <w:pPr>
                    <w:pStyle w:val="Compact"/>
                    <w:jc w:val="center"/>
                    <w:jc w:val="center"/>
                  </w:pPr>
                  <w:r>
                    <w:t xml:space="preserve">BIMTRA</w:t>
                  </w:r>
                </w:p>
              </w:tc>
              <w:tc>
                <w:tcPr/>
                <w:p>
                  <w:pPr>
                    <w:pStyle w:val="Compact"/>
                    <w:jc w:val="center"/>
                    <w:jc w:val="center"/>
                  </w:pPr>
                  <w:r>
                    <w:t xml:space="preserve">186</w:t>
                  </w:r>
                </w:p>
              </w:tc>
              <w:tc>
                <w:tcPr/>
                <w:p>
                  <w:pPr>
                    <w:pStyle w:val="Compact"/>
                    <w:jc w:val="center"/>
                    <w:jc w:val="center"/>
                  </w:pPr>
                  <w:r>
                    <w:t xml:space="preserve">Dados de movimento de solo, pouso e decolagem, compreendendo as fases de Take-Off, Landing, entre outros.</w:t>
                  </w:r>
                </w:p>
              </w:tc>
              <w:tc>
                <w:tcPr/>
                <w:p>
                  <w:pPr>
                    <w:pStyle w:val="Compact"/>
                    <w:jc w:val="center"/>
                    <w:jc w:val="center"/>
                  </w:pPr>
                  <w:r>
                    <w:t xml:space="preserve">KPI 02, KPI 08 e KPI 13</w:t>
                  </w:r>
                </w:p>
              </w:tc>
            </w:tr>
            <w:tr>
              <w:tc>
                <w:tcPr/>
                <w:p>
                  <w:pPr>
                    <w:pStyle w:val="Compact"/>
                    <w:jc w:val="center"/>
                    <w:jc w:val="center"/>
                  </w:pPr>
                  <w:r>
                    <w:t xml:space="preserve">CGNA</w:t>
                  </w:r>
                </w:p>
              </w:tc>
              <w:tc>
                <w:tcPr/>
                <w:p>
                  <w:pPr>
                    <w:pStyle w:val="Compact"/>
                    <w:jc w:val="center"/>
                    <w:jc w:val="center"/>
                  </w:pPr>
                  <w:r>
                    <w:t xml:space="preserve">N/A</w:t>
                  </w:r>
                </w:p>
              </w:tc>
              <w:tc>
                <w:tcPr/>
                <w:p>
                  <w:pPr>
                    <w:pStyle w:val="Compact"/>
                    <w:jc w:val="center"/>
                    <w:jc w:val="center"/>
                  </w:pPr>
                  <w:r>
                    <w:t xml:space="preserve">Previsão de demanda, capacidade de pista dos principais aeroportos e dos setores do espaço aéreo.</w:t>
                  </w:r>
                </w:p>
              </w:tc>
              <w:tc>
                <w:tcPr/>
                <w:p>
                  <w:pPr>
                    <w:pStyle w:val="Compact"/>
                    <w:jc w:val="center"/>
                    <w:jc w:val="center"/>
                  </w:pPr>
                  <w:r>
                    <w:t xml:space="preserve">KPI 06 e KPI 09</w:t>
                  </w:r>
                </w:p>
              </w:tc>
            </w:tr>
            <w:tr>
              <w:tc>
                <w:tcPr/>
                <w:p>
                  <w:pPr>
                    <w:pStyle w:val="Compact"/>
                    <w:jc w:val="center"/>
                    <w:jc w:val="center"/>
                  </w:pPr>
                  <w:r>
                    <w:t xml:space="preserve">FLIGHT RADAR 24</w:t>
                  </w:r>
                </w:p>
              </w:tc>
              <w:tc>
                <w:tcPr/>
                <w:p>
                  <w:pPr>
                    <w:pStyle w:val="Compact"/>
                    <w:jc w:val="center"/>
                    <w:jc w:val="center"/>
                  </w:pPr>
                  <w:r>
                    <w:t xml:space="preserve">N/A</w:t>
                  </w:r>
                </w:p>
              </w:tc>
              <w:tc>
                <w:tcPr/>
                <w:p>
                  <w:pPr>
                    <w:pStyle w:val="Compact"/>
                    <w:jc w:val="center"/>
                    <w:jc w:val="center"/>
                  </w:pPr>
                  <w:r>
                    <w:t xml:space="preserve">Serviço global de rastreamento de voos que fornece informações em tempo real sobre milhares de aeronaves em todo o mundo.</w:t>
                  </w:r>
                </w:p>
              </w:tc>
              <w:tc>
                <w:tcPr/>
                <w:p>
                  <w:pPr>
                    <w:pStyle w:val="Compact"/>
                    <w:jc w:val="center"/>
                    <w:jc w:val="center"/>
                  </w:pPr>
                  <w:r>
                    <w:t xml:space="preserve">KPI 05, KPI 17, KPI 18 e KPI 19</w:t>
                  </w:r>
                </w:p>
              </w:tc>
            </w:tr>
            <w:tr>
              <w:tc>
                <w:tcPr/>
                <w:p>
                  <w:pPr>
                    <w:pStyle w:val="Compact"/>
                    <w:jc w:val="center"/>
                    <w:jc w:val="center"/>
                  </w:pPr>
                  <w:r>
                    <w:t xml:space="preserve">ODIN</w:t>
                  </w:r>
                </w:p>
              </w:tc>
              <w:tc>
                <w:tcPr/>
                <w:p>
                  <w:pPr>
                    <w:pStyle w:val="Compact"/>
                    <w:jc w:val="center"/>
                    <w:jc w:val="center"/>
                  </w:pPr>
                  <w:r>
                    <w:t xml:space="preserve">N/A</w:t>
                  </w:r>
                </w:p>
              </w:tc>
              <w:tc>
                <w:tcPr/>
                <w:p>
                  <w:pPr>
                    <w:pStyle w:val="Compact"/>
                    <w:jc w:val="center"/>
                    <w:jc w:val="center"/>
                  </w:pPr>
                  <w:r>
                    <w:t xml:space="preserve">Esperas em voo e ocupação do espaço aéreo (uso da capacidade ATC).</w:t>
                  </w:r>
                </w:p>
              </w:tc>
              <w:tc>
                <w:tcPr/>
                <w:p>
                  <w:pPr>
                    <w:pStyle w:val="Compact"/>
                    <w:jc w:val="center"/>
                    <w:jc w:val="center"/>
                  </w:pPr>
                  <w:r>
                    <w:t xml:space="preserve">Outras informações</w:t>
                  </w:r>
                </w:p>
              </w:tc>
            </w:tr>
            <w:tr>
              <w:tc>
                <w:tcPr/>
                <w:p>
                  <w:pPr>
                    <w:pStyle w:val="Compact"/>
                    <w:jc w:val="center"/>
                    <w:jc w:val="center"/>
                  </w:pPr>
                  <w:r>
                    <w:t xml:space="preserve">PCICEA</w:t>
                  </w:r>
                </w:p>
              </w:tc>
              <w:tc>
                <w:tcPr/>
                <w:p>
                  <w:pPr>
                    <w:pStyle w:val="Compact"/>
                    <w:jc w:val="center"/>
                    <w:jc w:val="center"/>
                  </w:pPr>
                  <w:r>
                    <w:t xml:space="preserve">N/A</w:t>
                  </w:r>
                </w:p>
              </w:tc>
              <w:tc>
                <w:tcPr/>
                <w:p>
                  <w:pPr>
                    <w:pStyle w:val="Compact"/>
                    <w:jc w:val="center"/>
                    <w:jc w:val="center"/>
                  </w:pPr>
                  <w:r>
                    <w:t xml:space="preserve">Dados de síntese radar dos sistemas de vigilância do DECEA.</w:t>
                  </w:r>
                </w:p>
              </w:tc>
              <w:tc>
                <w:tcPr/>
                <w:p>
                  <w:pPr>
                    <w:pStyle w:val="Compact"/>
                    <w:jc w:val="center"/>
                    <w:jc w:val="center"/>
                  </w:pPr>
                  <w:r>
                    <w:t xml:space="preserve">KPI 08</w:t>
                  </w:r>
                </w:p>
              </w:tc>
            </w:tr>
            <w:tr>
              <w:tc>
                <w:tcPr/>
                <w:p>
                  <w:pPr>
                    <w:pStyle w:val="Compact"/>
                    <w:jc w:val="center"/>
                    <w:jc w:val="center"/>
                  </w:pPr>
                  <w:r>
                    <w:t xml:space="preserve">SAGITARIO</w:t>
                  </w:r>
                </w:p>
              </w:tc>
              <w:tc>
                <w:tcPr/>
                <w:p>
                  <w:pPr>
                    <w:pStyle w:val="Compact"/>
                    <w:jc w:val="center"/>
                    <w:jc w:val="center"/>
                  </w:pPr>
                  <w:r>
                    <w:t xml:space="preserve">N/A</w:t>
                  </w:r>
                </w:p>
              </w:tc>
              <w:tc>
                <w:tcPr/>
                <w:p>
                  <w:pPr>
                    <w:pStyle w:val="Compact"/>
                    <w:jc w:val="center"/>
                    <w:jc w:val="center"/>
                  </w:pPr>
                  <w:r>
                    <w:t xml:space="preserve">Sistema de tratamento de visualização dos dados radar.</w:t>
                  </w:r>
                </w:p>
              </w:tc>
              <w:tc>
                <w:tcPr/>
                <w:p>
                  <w:pPr>
                    <w:pStyle w:val="Compact"/>
                    <w:jc w:val="center"/>
                    <w:jc w:val="center"/>
                  </w:pPr>
                  <w:r>
                    <w:t xml:space="preserve">IDBR 06</w:t>
                  </w:r>
                </w:p>
              </w:tc>
            </w:tr>
            <w:tr>
              <w:tc>
                <w:tcPr/>
                <w:p>
                  <w:pPr>
                    <w:pStyle w:val="Compact"/>
                    <w:jc w:val="center"/>
                    <w:jc w:val="center"/>
                  </w:pPr>
                  <w:r>
                    <w:t xml:space="preserve">SETA</w:t>
                  </w:r>
                </w:p>
              </w:tc>
              <w:tc>
                <w:tcPr/>
                <w:p>
                  <w:pPr>
                    <w:pStyle w:val="Compact"/>
                    <w:jc w:val="center"/>
                    <w:jc w:val="center"/>
                  </w:pPr>
                  <w:r>
                    <w:t xml:space="preserve">N/A</w:t>
                  </w:r>
                </w:p>
              </w:tc>
              <w:tc>
                <w:tcPr/>
                <w:p>
                  <w:pPr>
                    <w:pStyle w:val="Compact"/>
                    <w:jc w:val="center"/>
                    <w:jc w:val="center"/>
                  </w:pPr>
                  <w:r>
                    <w:t xml:space="preserve">Dados de movimento em espaço aéreo.</w:t>
                  </w:r>
                </w:p>
              </w:tc>
              <w:tc>
                <w:tcPr/>
                <w:p>
                  <w:pPr>
                    <w:pStyle w:val="Compact"/>
                    <w:jc w:val="center"/>
                    <w:jc w:val="center"/>
                  </w:pPr>
                  <w:r>
                    <w:t xml:space="preserve">Movimentos</w:t>
                  </w:r>
                </w:p>
              </w:tc>
            </w:tr>
            <w:tr>
              <w:tc>
                <w:tcPr/>
                <w:p>
                  <w:pPr>
                    <w:pStyle w:val="Compact"/>
                    <w:jc w:val="center"/>
                    <w:jc w:val="center"/>
                  </w:pPr>
                  <w:r>
                    <w:t xml:space="preserve">SGPO</w:t>
                  </w:r>
                </w:p>
              </w:tc>
              <w:tc>
                <w:tcPr/>
                <w:p>
                  <w:pPr>
                    <w:pStyle w:val="Compact"/>
                    <w:jc w:val="center"/>
                    <w:jc w:val="center"/>
                  </w:pPr>
                  <w:r>
                    <w:t xml:space="preserve">N/A</w:t>
                  </w:r>
                </w:p>
              </w:tc>
              <w:tc>
                <w:tcPr/>
                <w:p>
                  <w:pPr>
                    <w:pStyle w:val="Compact"/>
                    <w:jc w:val="center"/>
                    <w:jc w:val="center"/>
                  </w:pPr>
                  <w:r>
                    <w:t xml:space="preserve">Dados de efetivo de ATCO (incluindo Aeronáutica, Marinha, Exército e Infraero), nível de inglês, setor de trabalho, entre outros.</w:t>
                  </w:r>
                </w:p>
              </w:tc>
              <w:tc>
                <w:tcPr/>
                <w:p>
                  <w:pPr>
                    <w:pStyle w:val="Compact"/>
                    <w:jc w:val="center"/>
                    <w:jc w:val="center"/>
                  </w:pPr>
                  <w:r>
                    <w:t xml:space="preserve">Efetivo de ATCO</w:t>
                  </w:r>
                </w:p>
              </w:tc>
            </w:tr>
            <w:tr>
              <w:tc>
                <w:tcPr/>
                <w:p>
                  <w:pPr>
                    <w:pStyle w:val="Compact"/>
                    <w:jc w:val="center"/>
                    <w:jc w:val="center"/>
                  </w:pPr>
                  <w:r>
                    <w:t xml:space="preserve">SIGMA</w:t>
                  </w:r>
                </w:p>
              </w:tc>
              <w:tc>
                <w:tcPr/>
                <w:p>
                  <w:pPr>
                    <w:pStyle w:val="Compact"/>
                    <w:jc w:val="center"/>
                    <w:jc w:val="center"/>
                  </w:pPr>
                  <w:r>
                    <w:t xml:space="preserve">N/A</w:t>
                  </w:r>
                </w:p>
              </w:tc>
              <w:tc>
                <w:tcPr/>
                <w:p>
                  <w:pPr>
                    <w:pStyle w:val="Compact"/>
                    <w:jc w:val="center"/>
                    <w:jc w:val="center"/>
                  </w:pPr>
                  <w:r>
                    <w:t xml:space="preserve">Sistema de gestão de movimentos aéreos que permite a análise das demandas para o gerenciamento do fluxo de tráfego aéreo.</w:t>
                  </w:r>
                </w:p>
              </w:tc>
              <w:tc>
                <w:tcPr/>
                <w:p>
                  <w:pPr>
                    <w:pStyle w:val="Compact"/>
                    <w:jc w:val="center"/>
                    <w:jc w:val="center"/>
                  </w:pPr>
                  <w:r>
                    <w:t xml:space="preserve">KPI 04</w:t>
                  </w:r>
                </w:p>
              </w:tc>
            </w:tr>
            <w:tr>
              <w:tc>
                <w:tcPr/>
                <w:p>
                  <w:pPr>
                    <w:pStyle w:val="Compact"/>
                    <w:jc w:val="center"/>
                    <w:jc w:val="center"/>
                  </w:pPr>
                  <w:r>
                    <w:t xml:space="preserve">SIATFM</w:t>
                  </w:r>
                </w:p>
              </w:tc>
              <w:tc>
                <w:tcPr/>
                <w:p>
                  <w:pPr>
                    <w:pStyle w:val="Compact"/>
                    <w:jc w:val="center"/>
                    <w:jc w:val="center"/>
                  </w:pPr>
                  <w:r>
                    <w:t xml:space="preserve">N/A</w:t>
                  </w:r>
                </w:p>
              </w:tc>
              <w:tc>
                <w:tcPr/>
                <w:p>
                  <w:pPr>
                    <w:pStyle w:val="Compact"/>
                    <w:jc w:val="center"/>
                    <w:jc w:val="center"/>
                  </w:pPr>
                  <w:r>
                    <w:t xml:space="preserve">Medidas ATFM. Ocorrências com informações de abertura de setores (SOT).</w:t>
                  </w:r>
                </w:p>
              </w:tc>
              <w:tc>
                <w:tcPr/>
                <w:p>
                  <w:pPr>
                    <w:pStyle w:val="Compact"/>
                    <w:jc w:val="center"/>
                    <w:jc w:val="center"/>
                  </w:pPr>
                  <w:r>
                    <w:t xml:space="preserve">Outras informações</w:t>
                  </w:r>
                </w:p>
              </w:tc>
            </w:tr>
            <w:tr>
              <w:tc>
                <w:tcPr/>
                <w:p>
                  <w:pPr>
                    <w:pStyle w:val="Compact"/>
                    <w:jc w:val="center"/>
                    <w:jc w:val="center"/>
                  </w:pPr>
                  <w:r>
                    <w:t xml:space="preserve">SIGAVSEC</w:t>
                  </w:r>
                </w:p>
              </w:tc>
              <w:tc>
                <w:tcPr/>
                <w:p>
                  <w:pPr>
                    <w:pStyle w:val="Compact"/>
                    <w:jc w:val="center"/>
                    <w:jc w:val="center"/>
                  </w:pPr>
                  <w:r>
                    <w:t xml:space="preserve">N/A</w:t>
                  </w:r>
                </w:p>
              </w:tc>
              <w:tc>
                <w:tcPr/>
                <w:p>
                  <w:pPr>
                    <w:pStyle w:val="Compact"/>
                    <w:jc w:val="center"/>
                    <w:jc w:val="center"/>
                  </w:pPr>
                  <w:r>
                    <w:t xml:space="preserve">Dados repostados nos relatórios de prevenção AVSEC.</w:t>
                  </w:r>
                </w:p>
              </w:tc>
              <w:tc>
                <w:tcPr/>
                <w:p>
                  <w:pPr>
                    <w:pStyle w:val="Compact"/>
                    <w:jc w:val="center"/>
                    <w:jc w:val="center"/>
                  </w:pPr>
                  <w:r>
                    <w:t xml:space="preserve">Indicadores AVSEC</w:t>
                  </w:r>
                </w:p>
              </w:tc>
            </w:tr>
            <w:tr>
              <w:tc>
                <w:tcPr/>
                <w:p>
                  <w:pPr>
                    <w:pStyle w:val="Compact"/>
                    <w:jc w:val="center"/>
                    <w:jc w:val="center"/>
                  </w:pPr>
                  <w:r>
                    <w:t xml:space="preserve">SIGCEA</w:t>
                  </w:r>
                </w:p>
              </w:tc>
              <w:tc>
                <w:tcPr/>
                <w:p>
                  <w:pPr>
                    <w:pStyle w:val="Compact"/>
                    <w:jc w:val="center"/>
                    <w:jc w:val="center"/>
                  </w:pPr>
                  <w:r>
                    <w:t xml:space="preserve">Todos</w:t>
                  </w:r>
                </w:p>
              </w:tc>
              <w:tc>
                <w:tcPr/>
                <w:p>
                  <w:pPr>
                    <w:pStyle w:val="Compact"/>
                    <w:jc w:val="center"/>
                    <w:jc w:val="center"/>
                  </w:pPr>
                  <w:r>
                    <w:t xml:space="preserve">Dados de incidentes, incursões em pista e avisos de resolução.</w:t>
                  </w:r>
                </w:p>
              </w:tc>
              <w:tc>
                <w:tcPr/>
                <w:p>
                  <w:pPr>
                    <w:pStyle w:val="Compact"/>
                    <w:jc w:val="center"/>
                    <w:jc w:val="center"/>
                  </w:pPr>
                  <w:r>
                    <w:t xml:space="preserve">Indicadores Safety</w:t>
                  </w:r>
                </w:p>
              </w:tc>
            </w:tr>
            <w:tr>
              <w:tc>
                <w:tcPr/>
                <w:p>
                  <w:pPr>
                    <w:pStyle w:val="Compact"/>
                    <w:jc w:val="center"/>
                    <w:jc w:val="center"/>
                  </w:pPr>
                  <w:r>
                    <w:t xml:space="preserve">SIROS/VRA</w:t>
                  </w:r>
                </w:p>
              </w:tc>
              <w:tc>
                <w:tcPr/>
                <w:p>
                  <w:pPr>
                    <w:pStyle w:val="Compact"/>
                    <w:jc w:val="center"/>
                    <w:jc w:val="center"/>
                  </w:pPr>
                  <w:r>
                    <w:t xml:space="preserve">Todos</w:t>
                  </w:r>
                </w:p>
              </w:tc>
              <w:tc>
                <w:tcPr/>
                <w:p>
                  <w:pPr>
                    <w:pStyle w:val="Compact"/>
                    <w:jc w:val="center"/>
                    <w:jc w:val="center"/>
                  </w:pPr>
                  <w:r>
                    <w:t xml:space="preserve">Dados de aeroportos que possuem operação da aviação comercial, VRA publicados dos voos realizados.</w:t>
                  </w:r>
                </w:p>
              </w:tc>
              <w:tc>
                <w:tcPr/>
                <w:p>
                  <w:pPr>
                    <w:pStyle w:val="Compact"/>
                    <w:jc w:val="center"/>
                    <w:jc w:val="center"/>
                  </w:pPr>
                  <w:r>
                    <w:t xml:space="preserve">KPI 01, KPI 02, KPI 13, KPI 14 e KPI 15</w:t>
                  </w:r>
                </w:p>
              </w:tc>
            </w:tr>
            <w:tr>
              <w:tc>
                <w:tcPr/>
                <w:p>
                  <w:pPr>
                    <w:pStyle w:val="Compact"/>
                    <w:jc w:val="center"/>
                    <w:jc w:val="center"/>
                  </w:pPr>
                  <w:r>
                    <w:t xml:space="preserve">TATIC FLOW</w:t>
                  </w:r>
                </w:p>
              </w:tc>
              <w:tc>
                <w:tcPr/>
                <w:p>
                  <w:pPr>
                    <w:pStyle w:val="Compact"/>
                    <w:jc w:val="center"/>
                    <w:jc w:val="center"/>
                  </w:pPr>
                  <w:r>
                    <w:t xml:space="preserve">63</w:t>
                  </w:r>
                </w:p>
              </w:tc>
              <w:tc>
                <w:tcPr/>
                <w:p>
                  <w:pPr>
                    <w:pStyle w:val="Compact"/>
                    <w:jc w:val="center"/>
                    <w:jc w:val="center"/>
                  </w:pPr>
                  <w:r>
                    <w:t xml:space="preserve">Movimentos de solo, pouso e decolagem, compreendendo fases de Pushback, Taxi-Out, Take-Off, Landing, Taxi-In, e outras.</w:t>
                  </w:r>
                </w:p>
              </w:tc>
              <w:tc>
                <w:tcPr/>
                <w:p>
                  <w:pPr>
                    <w:pStyle w:val="Compact"/>
                    <w:jc w:val="center"/>
                    <w:jc w:val="center"/>
                  </w:pPr>
                  <w:r>
                    <w:t xml:space="preserve">KPI 01, KPI 10 e KPI 14</w:t>
                  </w:r>
                </w:p>
              </w:tc>
            </w:tr>
            <w:tr>
              <w:tc>
                <w:tcPr/>
                <w:p>
                  <w:pPr>
                    <w:pStyle w:val="Compact"/>
                    <w:jc w:val="center"/>
                    <w:jc w:val="center"/>
                  </w:pPr>
                  <w:r>
                    <w:t xml:space="preserve">AISWEB</w:t>
                  </w:r>
                </w:p>
              </w:tc>
              <w:tc>
                <w:tcPr/>
                <w:p>
                  <w:pPr>
                    <w:pStyle w:val="Compact"/>
                    <w:jc w:val="center"/>
                    <w:jc w:val="center"/>
                  </w:pPr>
                  <w:r>
                    <w:t xml:space="preserve">Todos</w:t>
                  </w:r>
                </w:p>
              </w:tc>
              <w:tc>
                <w:tcPr/>
                <w:p>
                  <w:pPr>
                    <w:pStyle w:val="Compact"/>
                    <w:jc w:val="center"/>
                    <w:jc w:val="center"/>
                  </w:pPr>
                  <w:r>
                    <w:t xml:space="preserve">Consulta de dados para quantidade de aeródromos.</w:t>
                  </w:r>
                </w:p>
              </w:tc>
              <w:tc>
                <w:tcPr/>
                <w:p>
                  <w:pPr>
                    <w:pStyle w:val="Compact"/>
                    <w:jc w:val="center"/>
                    <w:jc w:val="center"/>
                  </w:pPr>
                  <w:r>
                    <w:t xml:space="preserve">AD Público, Privados e Militares</w:t>
                  </w:r>
                </w:p>
              </w:tc>
            </w:tr>
          </w:tbl>
          <w:bookmarkEnd w:id="43"/>
          <w:p/>
        </w:tc>
      </w:tr>
    </w:tbl>
    <w:p>
      <w:pPr>
        <w:pStyle w:val="Corpodetexto"/>
      </w:pPr>
      <w:r>
        <w:t xml:space="preserve">Destaca-se que o Manual de Metodologia de Indicadores ATM do SISCEAB (MCA 100-22/2020), que contém a descrição detalhada de cada indicador de performance e sua metodologia de cálculo e respectivas fonte de dados e o Plano de Performance ATM (PCA 100-3/2024), que estabelece parâmetros a serem observados pelos Prestadores de Serviços de Navegação Aérea (PSNA), são referências fundamentais para a gestão por performance no SISCEAB.</w:t>
      </w:r>
    </w:p>
    <w:bookmarkEnd w:id="44"/>
    <w:bookmarkEnd w:id="45"/>
    <w:bookmarkStart w:id="181" w:name="característica-do-sisceab"/>
    <w:p>
      <w:pPr>
        <w:pStyle w:val="Ttulo1"/>
      </w:pPr>
      <w:r>
        <w:t xml:space="preserve">2. CARACTERÍSTICA DO SISCEAB</w:t>
      </w:r>
    </w:p>
    <w:p>
      <w:pPr>
        <w:pStyle w:val="FirstParagraph"/>
      </w:pPr>
      <w:r>
        <w:t xml:space="preserve">As características do Sistema de Controle do Espaço Aéreo Brasileiro (SISCEAB) são analisadas a partir da integração entre a organização dos Serviços de Navegação Aérea, a atuação dos órgãos ATS (Air Traffic Services) e o comportamento da demanda por tráfego aéreo no espaço aéreo sob responsabilidade do Brasil.</w:t>
      </w:r>
    </w:p>
    <w:p>
      <w:pPr>
        <w:pStyle w:val="Corpodetexto"/>
      </w:pPr>
      <w:r>
        <w:t xml:space="preserve">O SISCEAB tem como finalidade prover os meios necessários ao gerenciamento do espaço aéreo e à prestação dos serviços de navegação aérea de forma segura, ordenada e eficiente, em conformidade com a legislação nacional e com os acordos internacionais dos quais o Brasil é signatário.</w:t>
      </w:r>
    </w:p>
    <w:p>
      <w:pPr>
        <w:pStyle w:val="Corpodetexto"/>
      </w:pPr>
      <w:r>
        <w:t xml:space="preserve">Para isso, o espaço aéreo brasileiro está estruturado em cinco Regiões de Informação de Voo (FIR), cuja gestão operacional é distribuída entre as Organizações Regionais do SISCEAB.</w:t>
      </w:r>
    </w:p>
    <w:p>
      <w:pPr>
        <w:pStyle w:val="Corpodetexto"/>
      </w:pPr>
      <w:r>
        <w:t xml:space="preserve">Neste capítulo, serão abordados os seguintes tópicos:</w:t>
      </w:r>
    </w:p>
    <w:p>
      <w:pPr>
        <w:pStyle w:val="Compact"/>
        <w:numPr>
          <w:ilvl w:val="0"/>
          <w:numId w:val="1002"/>
        </w:numPr>
      </w:pPr>
      <w:r>
        <w:t xml:space="preserve">Órgãos ATS</w:t>
      </w:r>
      <w:r>
        <w:br/>
      </w:r>
    </w:p>
    <w:p>
      <w:pPr>
        <w:pStyle w:val="Compact"/>
        <w:numPr>
          <w:ilvl w:val="0"/>
          <w:numId w:val="1002"/>
        </w:numPr>
      </w:pPr>
      <w:r>
        <w:t xml:space="preserve">Caracterização da demanda</w:t>
      </w:r>
      <w:r>
        <w:br/>
      </w:r>
    </w:p>
    <w:p>
      <w:pPr>
        <w:pStyle w:val="Compact"/>
        <w:numPr>
          <w:ilvl w:val="0"/>
          <w:numId w:val="1002"/>
        </w:numPr>
      </w:pPr>
      <w:r>
        <w:t xml:space="preserve">Efetivo de Controladores de Tráfego Aéreo (ATCO)</w:t>
      </w:r>
      <w:r>
        <w:br/>
      </w:r>
    </w:p>
    <w:p>
      <w:pPr>
        <w:pStyle w:val="Compact"/>
        <w:numPr>
          <w:ilvl w:val="0"/>
          <w:numId w:val="1002"/>
        </w:numPr>
      </w:pPr>
      <w:r>
        <w:t xml:space="preserve">Fatores meteorológicos</w:t>
      </w:r>
      <w:r>
        <w:br/>
      </w:r>
    </w:p>
    <w:p>
      <w:pPr>
        <w:pStyle w:val="Compact"/>
        <w:numPr>
          <w:ilvl w:val="0"/>
          <w:numId w:val="1002"/>
        </w:numPr>
      </w:pPr>
      <w:r>
        <w:t xml:space="preserve">Projetos no SISCEAB</w:t>
      </w:r>
    </w:p>
    <w:bookmarkStart w:id="53" w:name="orgãos-ats"/>
    <w:p>
      <w:pPr>
        <w:pStyle w:val="Ttulo2"/>
      </w:pPr>
      <w:r>
        <w:t xml:space="preserve">2.1 ORGÃOS ATS</w:t>
      </w:r>
    </w:p>
    <w:p>
      <w:pPr>
        <w:pStyle w:val="FirstParagraph"/>
      </w:pPr>
      <w:r>
        <w:t xml:space="preserve">Os órgãos ATS são responsáveis pela prestação dos Serviços de Tráfego Aéreo, que incluem o Controle de Tráfego Aéreo (ATC), o Serviço de Informação de Voo (FIS) e o Serviço de Alerta. Entre os órgãos de controle destacam-se os Centros de Controle de Área (ACC), os Controles de Aproximação (APP) e as Torres de Controle de Aeródromo (TWR).</w:t>
      </w:r>
    </w:p>
    <w:bookmarkStart w:id="47" w:name="centro-de-controle-de-área---acc"/>
    <w:p>
      <w:pPr>
        <w:pStyle w:val="Ttulo3"/>
      </w:pPr>
      <w:r>
        <w:t xml:space="preserve">2.1.1 CENTRO DE CONTROLE DE ÁREA - ACC</w:t>
      </w:r>
    </w:p>
    <w:p>
      <w:pPr>
        <w:pStyle w:val="FirstParagraph"/>
      </w:pPr>
      <w:r>
        <w:t xml:space="preserve">Os ACC prestam serviço para os voos em rota, nas FIR. Para assegurar um movimento de tráfego aéreo seguro, ordenado e eficiente, os controladores de tráfego aéreo (ATCO) dispõe de recursos tecnológicos modernos, relacionados na</w:t>
      </w:r>
      <w:r>
        <w:t xml:space="preserve"> </w:t>
      </w:r>
      <w:hyperlink w:anchor="tbl-recurso-acc">
        <w:r>
          <w:rPr>
            <w:rStyle w:val="Hyperlink"/>
          </w:rPr>
          <w:t xml:space="preserve">Tabela 2.1</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46" w:name="tbl-recurso-acc"/>
          <w:p>
            <w:pPr>
              <w:jc w:val="center"/>
            </w:pPr>
            <w:pPr>
              <w:jc w:val="left"/>
              <w:spacing w:before="200"/>
              <w:pStyle w:val="ImageCaption"/>
            </w:pPr>
            <w:r>
              <w:t xml:space="preserve">Tabela 2.1: Recursos Tecnológicos em ACC</w:t>
            </w:r>
          </w:p>
          <w:tbl>
            <w:tblPr>
              <w:tblStyle w:val="Table"/>
              <w:tblW w:type="pct" w:w="5000"/>
              <w:tblLayout w:type="fixed"/>
              <w:tblLook w:firstRow="1" w:lastRow="0" w:firstColumn="0" w:lastColumn="0" w:noHBand="0" w:noVBand="0" w:val="0020"/>
            </w:tblPr>
            <w:tblGrid>
              <w:gridCol w:w="751"/>
              <w:gridCol w:w="7168"/>
            </w:tblGrid>
            <w:tr>
              <w:trPr>
                <w:tblHeader w:val="on"/>
              </w:trPr>
              <w:tc>
                <w:tcPr/>
                <w:p>
                  <w:pPr>
                    <w:pStyle w:val="Compact"/>
                    <w:jc w:val="center"/>
                    <w:jc w:val="center"/>
                  </w:pPr>
                  <w:r>
                    <w:t xml:space="preserve">Recurso</w:t>
                  </w:r>
                </w:p>
              </w:tc>
              <w:tc>
                <w:tcPr/>
                <w:p>
                  <w:pPr>
                    <w:pStyle w:val="Compact"/>
                    <w:jc w:val="center"/>
                    <w:jc w:val="center"/>
                  </w:pPr>
                  <w:r>
                    <w:t xml:space="preserve">Definição</w:t>
                  </w:r>
                </w:p>
              </w:tc>
            </w:tr>
            <w:tr>
              <w:tc>
                <w:tcPr/>
                <w:p>
                  <w:pPr>
                    <w:pStyle w:val="Compact"/>
                    <w:jc w:val="center"/>
                    <w:jc w:val="center"/>
                  </w:pPr>
                  <w:r>
                    <w:t xml:space="preserve">SAGITARIO</w:t>
                  </w:r>
                </w:p>
              </w:tc>
              <w:tc>
                <w:tcPr/>
                <w:p>
                  <w:pPr>
                    <w:pStyle w:val="Compact"/>
                    <w:jc w:val="center"/>
                    <w:jc w:val="center"/>
                  </w:pPr>
                  <w:r>
                    <w:t xml:space="preserve">Sistema avançado de gerenciamento de informações de tráfego aéreo e relatório de interesse operacional.</w:t>
                  </w:r>
                </w:p>
              </w:tc>
            </w:tr>
            <w:tr>
              <w:tc>
                <w:tcPr/>
                <w:p>
                  <w:pPr>
                    <w:pStyle w:val="Compact"/>
                    <w:jc w:val="center"/>
                    <w:jc w:val="center"/>
                  </w:pPr>
                  <w:r>
                    <w:t xml:space="preserve">CPDLC</w:t>
                  </w:r>
                </w:p>
              </w:tc>
              <w:tc>
                <w:tcPr/>
                <w:p>
                  <w:pPr>
                    <w:pStyle w:val="Compact"/>
                    <w:jc w:val="center"/>
                    <w:jc w:val="center"/>
                  </w:pPr>
                  <w:r>
                    <w:t xml:space="preserve">Comunicações por enlace de dados controlador - piloto.</w:t>
                  </w:r>
                </w:p>
              </w:tc>
            </w:tr>
            <w:tr>
              <w:tc>
                <w:tcPr/>
                <w:p>
                  <w:pPr>
                    <w:pStyle w:val="Compact"/>
                    <w:jc w:val="center"/>
                    <w:jc w:val="center"/>
                  </w:pPr>
                  <w:r>
                    <w:t xml:space="preserve">AMAN</w:t>
                  </w:r>
                </w:p>
              </w:tc>
              <w:tc>
                <w:tcPr/>
                <w:p>
                  <w:pPr>
                    <w:pStyle w:val="Compact"/>
                    <w:jc w:val="center"/>
                    <w:jc w:val="center"/>
                  </w:pPr>
                  <w:r>
                    <w:t xml:space="preserve">Gerenciamento de chegada.</w:t>
                  </w:r>
                </w:p>
              </w:tc>
            </w:tr>
            <w:tr>
              <w:tc>
                <w:tcPr/>
                <w:p>
                  <w:pPr>
                    <w:pStyle w:val="Compact"/>
                    <w:jc w:val="center"/>
                    <w:jc w:val="center"/>
                  </w:pPr>
                  <w:r>
                    <w:t xml:space="preserve">SITTI</w:t>
                  </w:r>
                </w:p>
              </w:tc>
              <w:tc>
                <w:tcPr/>
                <w:p>
                  <w:pPr>
                    <w:pStyle w:val="Compact"/>
                    <w:jc w:val="center"/>
                    <w:jc w:val="center"/>
                  </w:pPr>
                  <w:r>
                    <w:t xml:space="preserve">Central de áudio / telefonia integrada.</w:t>
                  </w:r>
                </w:p>
              </w:tc>
            </w:tr>
            <w:tr>
              <w:tc>
                <w:tcPr/>
                <w:p>
                  <w:pPr>
                    <w:pStyle w:val="Compact"/>
                    <w:jc w:val="center"/>
                    <w:jc w:val="center"/>
                  </w:pPr>
                  <w:r>
                    <w:t xml:space="preserve">ADS-C</w:t>
                  </w:r>
                </w:p>
              </w:tc>
              <w:tc>
                <w:tcPr/>
                <w:p>
                  <w:pPr>
                    <w:pStyle w:val="Compact"/>
                    <w:jc w:val="center"/>
                    <w:jc w:val="center"/>
                  </w:pPr>
                  <w:r>
                    <w:t xml:space="preserve">Vigilância dependente automática - contrato.</w:t>
                  </w:r>
                </w:p>
              </w:tc>
            </w:tr>
          </w:tbl>
          <w:bookmarkEnd w:id="46"/>
          <w:p/>
        </w:tc>
      </w:tr>
    </w:tbl>
    <w:bookmarkEnd w:id="47"/>
    <w:bookmarkStart w:id="49" w:name="controle-de-aproximação---app"/>
    <w:p>
      <w:pPr>
        <w:pStyle w:val="Ttulo3"/>
      </w:pPr>
      <w:r>
        <w:t xml:space="preserve">2.1.2 CONTROLE DE APROXIMAÇÃO - APP</w:t>
      </w:r>
    </w:p>
    <w:p>
      <w:pPr>
        <w:pStyle w:val="FirstParagraph"/>
      </w:pPr>
      <w:r>
        <w:t xml:space="preserve">Os APP prestam serviço para os voos logo após a decolagem e para aqueles que estão em descida para aproximação no aeroporto de destino, nas TMA. Para assegurar um fluxo de tráfego aéreo seguro, ordenado e eficiente, os ATCO dispõe de recursos tecnológicos modernos, exemplificados na</w:t>
      </w:r>
      <w:r>
        <w:t xml:space="preserve"> </w:t>
      </w:r>
      <w:hyperlink w:anchor="tbl-recurso-app">
        <w:r>
          <w:rPr>
            <w:rStyle w:val="Hyperlink"/>
          </w:rPr>
          <w:t xml:space="preserve">Tabela 2.2</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48" w:name="tbl-recurso-app"/>
          <w:p>
            <w:pPr>
              <w:jc w:val="center"/>
            </w:pPr>
            <w:pPr>
              <w:jc w:val="left"/>
              <w:spacing w:before="200"/>
              <w:pStyle w:val="ImageCaption"/>
            </w:pPr>
            <w:r>
              <w:t xml:space="preserve">Tabela 2.2: Recursos Tecnológicos em APP</w:t>
            </w:r>
          </w:p>
          <w:tbl>
            <w:tblPr>
              <w:tblStyle w:val="Table"/>
              <w:tblW w:type="pct" w:w="5000"/>
              <w:tblLayout w:type="fixed"/>
              <w:tblLook w:firstRow="1" w:lastRow="0" w:firstColumn="0" w:lastColumn="0" w:noHBand="0" w:noVBand="0" w:val="0020"/>
            </w:tblPr>
            <w:tblGrid>
              <w:gridCol w:w="751"/>
              <w:gridCol w:w="7168"/>
            </w:tblGrid>
            <w:tr>
              <w:trPr>
                <w:tblHeader w:val="on"/>
              </w:trPr>
              <w:tc>
                <w:tcPr/>
                <w:p>
                  <w:pPr>
                    <w:pStyle w:val="Compact"/>
                    <w:jc w:val="center"/>
                    <w:jc w:val="center"/>
                  </w:pPr>
                  <w:r>
                    <w:t xml:space="preserve">Recurso</w:t>
                  </w:r>
                </w:p>
              </w:tc>
              <w:tc>
                <w:tcPr/>
                <w:p>
                  <w:pPr>
                    <w:pStyle w:val="Compact"/>
                    <w:jc w:val="center"/>
                    <w:jc w:val="center"/>
                  </w:pPr>
                  <w:r>
                    <w:t xml:space="preserve">Definição</w:t>
                  </w:r>
                </w:p>
              </w:tc>
            </w:tr>
            <w:tr>
              <w:tc>
                <w:tcPr/>
                <w:p>
                  <w:pPr>
                    <w:pStyle w:val="Compact"/>
                    <w:jc w:val="center"/>
                    <w:jc w:val="center"/>
                  </w:pPr>
                  <w:r>
                    <w:t xml:space="preserve">SAGITARIO</w:t>
                  </w:r>
                </w:p>
              </w:tc>
              <w:tc>
                <w:tcPr/>
                <w:p>
                  <w:pPr>
                    <w:pStyle w:val="Compact"/>
                    <w:jc w:val="center"/>
                    <w:jc w:val="center"/>
                  </w:pPr>
                  <w:r>
                    <w:t xml:space="preserve">Sistema avançado de gerenciamento de informações de tráfego aéreo e relatório de interesse operacional.</w:t>
                  </w:r>
                </w:p>
              </w:tc>
            </w:tr>
            <w:tr>
              <w:tc>
                <w:tcPr/>
                <w:p>
                  <w:pPr>
                    <w:pStyle w:val="Compact"/>
                    <w:jc w:val="center"/>
                    <w:jc w:val="center"/>
                  </w:pPr>
                  <w:r>
                    <w:t xml:space="preserve">AMAN</w:t>
                  </w:r>
                </w:p>
              </w:tc>
              <w:tc>
                <w:tcPr/>
                <w:p>
                  <w:pPr>
                    <w:pStyle w:val="Compact"/>
                    <w:jc w:val="center"/>
                    <w:jc w:val="center"/>
                  </w:pPr>
                  <w:r>
                    <w:t xml:space="preserve">Gerenciamento de chegada.</w:t>
                  </w:r>
                </w:p>
              </w:tc>
            </w:tr>
            <w:tr>
              <w:tc>
                <w:tcPr/>
                <w:p>
                  <w:pPr>
                    <w:pStyle w:val="Compact"/>
                    <w:jc w:val="center"/>
                    <w:jc w:val="center"/>
                  </w:pPr>
                  <w:r>
                    <w:t xml:space="preserve">SITTI</w:t>
                  </w:r>
                </w:p>
              </w:tc>
              <w:tc>
                <w:tcPr/>
                <w:p>
                  <w:pPr>
                    <w:pStyle w:val="Compact"/>
                    <w:jc w:val="center"/>
                    <w:jc w:val="center"/>
                  </w:pPr>
                  <w:r>
                    <w:t xml:space="preserve">Central de áudio / telefonia integrada.</w:t>
                  </w:r>
                </w:p>
              </w:tc>
            </w:tr>
          </w:tbl>
          <w:bookmarkEnd w:id="48"/>
          <w:p/>
        </w:tc>
      </w:tr>
    </w:tbl>
    <w:bookmarkEnd w:id="49"/>
    <w:bookmarkStart w:id="51" w:name="torre-de-controle-de-aeródromo---twr"/>
    <w:p>
      <w:pPr>
        <w:pStyle w:val="Ttulo3"/>
      </w:pPr>
      <w:r>
        <w:t xml:space="preserve">2.1.3 TORRE DE CONTROLE DE AERÓDROMO - TWR</w:t>
      </w:r>
    </w:p>
    <w:p>
      <w:pPr>
        <w:pStyle w:val="FirstParagraph"/>
      </w:pPr>
      <w:r>
        <w:t xml:space="preserve">As TWR prestam o serviço para aeronaves no solo ou nas imediações do aeródromo. No âmbito do SISCEAB, destaca-se ainda a Torre Digital (D-TWR), atualmente em operação no DTCEA-SC, na qual a observação visual direta é substituída por um sistema de vigilância composto por câmeras de alta resolução e monitores, proporcionando aos controladores uma visão panorâmica ampliada do aeródromo e de sua área circunvizinha.</w:t>
      </w:r>
    </w:p>
    <w:tbl>
      <w:tblPr>
        <w:tblStyle w:val="Table"/>
        <w:tblW w:type="pct" w:w="5000"/>
        <w:tblLayout w:type="fixed"/>
        <w:tblLook w:firstRow="0" w:lastRow="0" w:firstColumn="0" w:lastColumn="0" w:noHBand="0" w:noVBand="0" w:val="0000"/>
      </w:tblPr>
      <w:tblGrid>
        <w:gridCol w:w="7920"/>
      </w:tblGrid>
      <w:tr>
        <w:tc>
          <w:tcPr/>
          <w:bookmarkStart w:id="50" w:name="tbl-recurso-twr"/>
          <w:p>
            <w:pPr>
              <w:jc w:val="center"/>
            </w:pPr>
            <w:pPr>
              <w:jc w:val="left"/>
              <w:spacing w:before="200"/>
              <w:pStyle w:val="ImageCaption"/>
            </w:pPr>
            <w:r>
              <w:t xml:space="preserve">Tabela 2.3: Recursos Tecnológicos em TWR</w:t>
            </w:r>
          </w:p>
          <w:tbl>
            <w:tblPr>
              <w:tblStyle w:val="Table"/>
              <w:tblW w:type="pct" w:w="5000"/>
              <w:tblLayout w:type="fixed"/>
              <w:tblLook w:firstRow="1" w:lastRow="0" w:firstColumn="0" w:lastColumn="0" w:noHBand="0" w:noVBand="0" w:val="0020"/>
            </w:tblPr>
            <w:tblGrid>
              <w:gridCol w:w="600"/>
              <w:gridCol w:w="7319"/>
            </w:tblGrid>
            <w:tr>
              <w:trPr>
                <w:tblHeader w:val="on"/>
              </w:trPr>
              <w:tc>
                <w:tcPr/>
                <w:p>
                  <w:pPr>
                    <w:pStyle w:val="Compact"/>
                    <w:jc w:val="center"/>
                    <w:jc w:val="center"/>
                  </w:pPr>
                  <w:r>
                    <w:t xml:space="preserve">Recurso</w:t>
                  </w:r>
                </w:p>
              </w:tc>
              <w:tc>
                <w:tcPr/>
                <w:p>
                  <w:pPr>
                    <w:pStyle w:val="Compact"/>
                    <w:jc w:val="center"/>
                    <w:jc w:val="center"/>
                  </w:pPr>
                  <w:r>
                    <w:t xml:space="preserve">Definição</w:t>
                  </w:r>
                </w:p>
              </w:tc>
            </w:tr>
            <w:tr>
              <w:tc>
                <w:tcPr/>
                <w:p>
                  <w:pPr>
                    <w:pStyle w:val="Compact"/>
                    <w:jc w:val="center"/>
                    <w:jc w:val="center"/>
                  </w:pPr>
                  <w:r>
                    <w:t xml:space="preserve">SAGITARIO</w:t>
                  </w:r>
                </w:p>
              </w:tc>
              <w:tc>
                <w:tcPr/>
                <w:p>
                  <w:pPr>
                    <w:pStyle w:val="Compact"/>
                    <w:jc w:val="center"/>
                    <w:jc w:val="center"/>
                  </w:pPr>
                  <w:r>
                    <w:t xml:space="preserve">Sistema avançado de gerenciamento de informações de tráfego aéreo e relatório de interesse operacional.</w:t>
                  </w:r>
                </w:p>
              </w:tc>
            </w:tr>
            <w:tr>
              <w:tc>
                <w:tcPr/>
                <w:p>
                  <w:pPr>
                    <w:pStyle w:val="Compact"/>
                    <w:jc w:val="center"/>
                    <w:jc w:val="center"/>
                  </w:pPr>
                  <w:r>
                    <w:t xml:space="preserve">TATIC</w:t>
                  </w:r>
                </w:p>
              </w:tc>
              <w:tc>
                <w:tcPr/>
                <w:p>
                  <w:pPr>
                    <w:pStyle w:val="Compact"/>
                    <w:jc w:val="center"/>
                    <w:jc w:val="center"/>
                  </w:pPr>
                  <w:r>
                    <w:t xml:space="preserve">Sistema de operação e gerenciamento para torres de controle baseado no uso de strips eletrônicas</w:t>
                  </w:r>
                </w:p>
              </w:tc>
            </w:tr>
            <w:tr>
              <w:tc>
                <w:tcPr/>
                <w:p>
                  <w:pPr>
                    <w:pStyle w:val="Compact"/>
                    <w:jc w:val="center"/>
                    <w:jc w:val="center"/>
                  </w:pPr>
                  <w:r>
                    <w:t xml:space="preserve">ACAMS</w:t>
                  </w:r>
                </w:p>
              </w:tc>
              <w:tc>
                <w:tcPr/>
                <w:p>
                  <w:pPr>
                    <w:pStyle w:val="Compact"/>
                    <w:jc w:val="center"/>
                    <w:jc w:val="center"/>
                  </w:pPr>
                  <w:r>
                    <w:t xml:space="preserve">Sistema de monitoramento e controle de infraestrutura para torres baseado na integração de múltiplos sistemas em uma única interface</w:t>
                  </w:r>
                </w:p>
              </w:tc>
            </w:tr>
            <w:tr>
              <w:tc>
                <w:tcPr/>
                <w:p>
                  <w:pPr>
                    <w:pStyle w:val="Compact"/>
                    <w:jc w:val="center"/>
                    <w:jc w:val="center"/>
                  </w:pPr>
                  <w:r>
                    <w:t xml:space="preserve">SITTI</w:t>
                  </w:r>
                </w:p>
              </w:tc>
              <w:tc>
                <w:tcPr/>
                <w:p>
                  <w:pPr>
                    <w:pStyle w:val="Compact"/>
                    <w:jc w:val="center"/>
                    <w:jc w:val="center"/>
                  </w:pPr>
                  <w:r>
                    <w:t xml:space="preserve">Central de áudio / telefonia integrada.</w:t>
                  </w:r>
                </w:p>
              </w:tc>
            </w:tr>
          </w:tbl>
          <w:bookmarkEnd w:id="50"/>
          <w:p/>
        </w:tc>
      </w:tr>
    </w:tbl>
    <w:bookmarkEnd w:id="51"/>
    <w:bookmarkStart w:id="52" w:name="afis"/>
    <w:p>
      <w:pPr>
        <w:pStyle w:val="Ttulo3"/>
      </w:pPr>
      <w:r>
        <w:t xml:space="preserve">2.1.4 AFIS</w:t>
      </w:r>
    </w:p>
    <w:p>
      <w:pPr>
        <w:pStyle w:val="FirstParagraph"/>
      </w:pPr>
      <w:r>
        <w:t xml:space="preserve">No Brasil, as estações aeronáuticas, conhecidas como Rádios, são responsáveis pela prestação do Serviço de Informação de Voo de Aeródromo (AFIS). De forma complementar, órgãos APP ou TWR podem, em determinados períodos e conforme critérios operacionais previamente definidos, assumir essa função, permitindo adequar o nível de serviço à demanda, otimizar recursos e manter os níveis de segurança operacional requeridos.</w:t>
      </w:r>
    </w:p>
    <w:bookmarkEnd w:id="52"/>
    <w:bookmarkEnd w:id="53"/>
    <w:bookmarkStart w:id="111" w:name="caracterização-da-demanda"/>
    <w:p>
      <w:pPr>
        <w:pStyle w:val="Ttulo2"/>
      </w:pPr>
      <w:r>
        <w:t xml:space="preserve">2.2 CARACTERIZAÇÃO DA DEMANDA</w:t>
      </w:r>
    </w:p>
    <w:p>
      <w:pPr>
        <w:pStyle w:val="FirstParagraph"/>
      </w:pPr>
      <w:r>
        <w:t xml:space="preserve">A capacidade de assegurar um fluxo de aeronaves seguro, ordenado e rápido depende intrinsecamente da compreensão e do monitoramento preciso da demanda. Em 2025, esse acompanhamento revelou um sistema em plena atividade, caracterizado por uma malha complexa e de alta densidade que integra as aviações comercial, geral e militar.</w:t>
      </w:r>
    </w:p>
    <w:p>
      <w:pPr>
        <w:pStyle w:val="Corpodetexto"/>
      </w:pPr>
      <w:r>
        <w:t xml:space="preserve">Nesse cenário, a busca pela melhoria contínua dos serviços prestados no SISCEAB exige que se detalhe como essa demanda se distribui espacial e temporalmente. Para isso, mostram-se necessárias análises operacionais comparativas que abranjam o desempenho dos principais aeroportos, o volume de tráfego por FIR, as rotas mais utilizadas, a densidade do tráfego e a composição da frota.</w:t>
      </w:r>
    </w:p>
    <w:bookmarkStart w:id="78" w:name="X4d345f40dddcea1d8c30cf3df0745a03defced4"/>
    <w:p>
      <w:pPr>
        <w:pStyle w:val="Ttulo3"/>
      </w:pPr>
      <w:r>
        <w:t xml:space="preserve">2.2.1 DEMANDA NOS PRINCIPAIS AEROPORTOS DO SISCEAB</w:t>
      </w:r>
    </w:p>
    <w:p>
      <w:pPr>
        <w:pStyle w:val="FirstParagraph"/>
      </w:pPr>
      <w:r>
        <w:t xml:space="preserve">Conforme descrevem a</w:t>
      </w:r>
      <w:r>
        <w:t xml:space="preserve"> </w:t>
      </w:r>
      <w:hyperlink w:anchor="tbl-movimento-tipo">
        <w:r>
          <w:rPr>
            <w:rStyle w:val="Hyperlink"/>
          </w:rPr>
          <w:t xml:space="preserve">Tabela 2.4</w:t>
        </w:r>
      </w:hyperlink>
      <w:r>
        <w:t xml:space="preserve"> </w:t>
      </w:r>
      <w:r>
        <w:t xml:space="preserve">e a</w:t>
      </w:r>
      <w:r>
        <w:t xml:space="preserve"> </w:t>
      </w:r>
      <w:hyperlink w:anchor="fig-movimento-anual">
        <w:r>
          <w:rPr>
            <w:rStyle w:val="Hyperlink"/>
          </w:rPr>
          <w:t xml:space="preserve">Figura 2.1</w:t>
        </w:r>
      </w:hyperlink>
      <w:r>
        <w:t xml:space="preserve">, o monitoramento da demanda aérea em 2025 revelou um sistema em plena atividade, caracterizado por uma malha complexa que integra as aviações comercial, geral e militar. No centro dessa dinâmica, o segmento Comercial continua figurando como o principal motor do SISCEAB, totalizando 1.735.139 movimentos. Esse montante é composto majoritariamente pela operação Nacional, com 1.572.629 movimentos, e complementado pelo fluxo Internacional, que registrou 162.530 movimentos.</w:t>
      </w:r>
    </w:p>
    <w:p>
      <w:pPr>
        <w:pStyle w:val="Corpodetexto"/>
      </w:pPr>
      <w:r>
        <w:t xml:space="preserve">A análise do tráfego evidencia o peso de cada setor na ocupação do espaço aéreo: a Aviação Geral demonstrou relevância operacional expressiva, somando 1.055.652 operações. Já a Aviação Militar registrou 160.398 movimentos, apresentando picos de atividade em maio (16.214) e setembro (14.715), associados a exercícios operacionais.</w:t>
      </w:r>
    </w:p>
    <w:p>
      <w:pPr>
        <w:pStyle w:val="Corpodetexto"/>
      </w:pPr>
      <w:r>
        <w:t xml:space="preserve">A distribuição mensal do tráfego comercial manteve-se estável, com picos de demanda em janeiro, julho e dezembro, refletindo a sazonalidade das altas temporadas. Em suma, os movimentos de 2025 ratificam um sistema de alta densidade que exige uma gestão de fluxo (ATFM) cada vez mais eficiente.</w:t>
      </w:r>
    </w:p>
    <w:tbl>
      <w:tblPr>
        <w:tblStyle w:val="Table"/>
        <w:tblW w:type="pct" w:w="5000"/>
        <w:tblLayout w:type="fixed"/>
        <w:tblLook w:firstRow="0" w:lastRow="0" w:firstColumn="0" w:lastColumn="0" w:noHBand="0" w:noVBand="0" w:val="0000"/>
      </w:tblPr>
      <w:tblGrid>
        <w:gridCol w:w="7920"/>
      </w:tblGrid>
      <w:tr>
        <w:tc>
          <w:tcPr/>
          <w:bookmarkStart w:id="54" w:name="tbl-movimento-tipo"/>
          <w:p>
            <w:pPr>
              <w:jc w:val="center"/>
            </w:pPr>
            <w:pPr>
              <w:jc w:val="left"/>
              <w:spacing w:before="200"/>
              <w:pStyle w:val="ImageCaption"/>
            </w:pPr>
            <w:r>
              <w:t xml:space="preserve">Tabela 2.4: Movimento Mensal por Tipo de Voo</w:t>
            </w:r>
          </w:p>
          <w:tbl>
            <w:tblPr>
              <w:tblStyle w:val="Table"/>
              <w:tblW w:type="pct" w:w="5000"/>
              <w:tblLayout w:type="fixed"/>
              <w:tblLook w:firstRow="1" w:lastRow="0" w:firstColumn="0" w:lastColumn="0" w:noHBand="0" w:noVBand="0" w:val="0020"/>
            </w:tblPr>
            <w:tblGrid>
              <w:gridCol w:w="383"/>
              <w:gridCol w:w="830"/>
              <w:gridCol w:w="574"/>
              <w:gridCol w:w="510"/>
              <w:gridCol w:w="510"/>
              <w:gridCol w:w="510"/>
              <w:gridCol w:w="510"/>
              <w:gridCol w:w="510"/>
              <w:gridCol w:w="510"/>
              <w:gridCol w:w="510"/>
              <w:gridCol w:w="510"/>
              <w:gridCol w:w="510"/>
              <w:gridCol w:w="510"/>
              <w:gridCol w:w="510"/>
              <w:gridCol w:w="510"/>
            </w:tblGrid>
            <w:tr>
              <w:trPr>
                <w:tblHeader w:val="on"/>
              </w:trPr>
              <w:tc>
                <w:tcPr/>
                <w:p>
                  <w:pPr>
                    <w:pStyle w:val="Compact"/>
                    <w:jc w:val="center"/>
                    <w:jc w:val="center"/>
                  </w:pPr>
                  <w:r>
                    <w:t xml:space="preserve">Ano</w:t>
                  </w:r>
                </w:p>
              </w:tc>
              <w:tc>
                <w:tcPr/>
                <w:p>
                  <w:pPr>
                    <w:pStyle w:val="Compact"/>
                    <w:jc w:val="center"/>
                    <w:jc w:val="center"/>
                  </w:pPr>
                  <w:r>
                    <w:t xml:space="preserve">Tipo de Voo</w:t>
                  </w:r>
                </w:p>
              </w:tc>
              <w:tc>
                <w:tcPr/>
                <w:p>
                  <w:pPr>
                    <w:pStyle w:val="Compact"/>
                    <w:jc w:val="center"/>
                    <w:jc w:val="center"/>
                  </w:pPr>
                  <w:r>
                    <w:t xml:space="preserve">Total</w:t>
                  </w:r>
                </w:p>
              </w:tc>
              <w:tc>
                <w:tcPr/>
                <w:p>
                  <w:pPr>
                    <w:pStyle w:val="Compact"/>
                    <w:jc w:val="center"/>
                    <w:jc w:val="center"/>
                  </w:pPr>
                  <w:r>
                    <w:t xml:space="preserve">Jan</w:t>
                  </w:r>
                </w:p>
              </w:tc>
              <w:tc>
                <w:tcPr/>
                <w:p>
                  <w:pPr>
                    <w:pStyle w:val="Compact"/>
                    <w:jc w:val="center"/>
                    <w:jc w:val="center"/>
                  </w:pPr>
                  <w:r>
                    <w:t xml:space="preserve">Fev</w:t>
                  </w:r>
                </w:p>
              </w:tc>
              <w:tc>
                <w:tcPr/>
                <w:p>
                  <w:pPr>
                    <w:pStyle w:val="Compact"/>
                    <w:jc w:val="center"/>
                    <w:jc w:val="center"/>
                  </w:pPr>
                  <w:r>
                    <w:t xml:space="preserve">Mar</w:t>
                  </w:r>
                </w:p>
              </w:tc>
              <w:tc>
                <w:tcPr/>
                <w:p>
                  <w:pPr>
                    <w:pStyle w:val="Compact"/>
                    <w:jc w:val="center"/>
                    <w:jc w:val="center"/>
                  </w:pPr>
                  <w:r>
                    <w:t xml:space="preserve">Abr</w:t>
                  </w:r>
                </w:p>
              </w:tc>
              <w:tc>
                <w:tcPr/>
                <w:p>
                  <w:pPr>
                    <w:pStyle w:val="Compact"/>
                    <w:jc w:val="center"/>
                    <w:jc w:val="center"/>
                  </w:pPr>
                  <w:r>
                    <w:t xml:space="preserve">Mai</w:t>
                  </w:r>
                </w:p>
              </w:tc>
              <w:tc>
                <w:tcPr/>
                <w:p>
                  <w:pPr>
                    <w:pStyle w:val="Compact"/>
                    <w:jc w:val="center"/>
                    <w:jc w:val="center"/>
                  </w:pPr>
                  <w:r>
                    <w:t xml:space="preserve">Jun</w:t>
                  </w:r>
                </w:p>
              </w:tc>
              <w:tc>
                <w:tcPr/>
                <w:p>
                  <w:pPr>
                    <w:pStyle w:val="Compact"/>
                    <w:jc w:val="center"/>
                    <w:jc w:val="center"/>
                  </w:pPr>
                  <w:r>
                    <w:t xml:space="preserve">Jul</w:t>
                  </w:r>
                </w:p>
              </w:tc>
              <w:tc>
                <w:tcPr/>
                <w:p>
                  <w:pPr>
                    <w:pStyle w:val="Compact"/>
                    <w:jc w:val="center"/>
                    <w:jc w:val="center"/>
                  </w:pPr>
                  <w:r>
                    <w:t xml:space="preserve">Ago</w:t>
                  </w:r>
                </w:p>
              </w:tc>
              <w:tc>
                <w:tcPr/>
                <w:p>
                  <w:pPr>
                    <w:pStyle w:val="Compact"/>
                    <w:jc w:val="center"/>
                    <w:jc w:val="center"/>
                  </w:pPr>
                  <w:r>
                    <w:t xml:space="preserve">Set</w:t>
                  </w:r>
                </w:p>
              </w:tc>
              <w:tc>
                <w:tcPr/>
                <w:p>
                  <w:pPr>
                    <w:pStyle w:val="Compact"/>
                    <w:jc w:val="center"/>
                    <w:jc w:val="center"/>
                  </w:pPr>
                  <w:r>
                    <w:t xml:space="preserve">Out</w:t>
                  </w:r>
                </w:p>
              </w:tc>
              <w:tc>
                <w:tcPr/>
                <w:p>
                  <w:pPr>
                    <w:pStyle w:val="Compact"/>
                    <w:jc w:val="center"/>
                    <w:jc w:val="center"/>
                  </w:pPr>
                  <w:r>
                    <w:t xml:space="preserve">Nov</w:t>
                  </w:r>
                </w:p>
              </w:tc>
              <w:tc>
                <w:tcPr/>
                <w:p>
                  <w:pPr>
                    <w:pStyle w:val="Compact"/>
                    <w:jc w:val="center"/>
                    <w:jc w:val="center"/>
                  </w:pPr>
                  <w:r>
                    <w:t xml:space="preserve">Dez</w:t>
                  </w:r>
                </w:p>
              </w:tc>
            </w:tr>
            <w:tr>
              <w:tc>
                <w:tcPr/>
                <w:p>
                  <w:pPr>
                    <w:pStyle w:val="Compact"/>
                    <w:jc w:val="center"/>
                    <w:jc w:val="center"/>
                  </w:pPr>
                  <w:r>
                    <w:t xml:space="preserve">2023</w:t>
                  </w:r>
                </w:p>
              </w:tc>
              <w:tc>
                <w:tcPr/>
                <w:p>
                  <w:pPr>
                    <w:pStyle w:val="Compact"/>
                    <w:jc w:val="center"/>
                    <w:jc w:val="center"/>
                  </w:pPr>
                  <w:r>
                    <w:t xml:space="preserve">Geral</w:t>
                  </w:r>
                </w:p>
              </w:tc>
              <w:tc>
                <w:tcPr/>
                <w:p>
                  <w:pPr>
                    <w:pStyle w:val="Compact"/>
                    <w:jc w:val="center"/>
                    <w:jc w:val="center"/>
                  </w:pPr>
                  <w:r>
                    <w:t xml:space="preserve">937591</w:t>
                  </w:r>
                </w:p>
              </w:tc>
              <w:tc>
                <w:tcPr/>
                <w:p>
                  <w:pPr>
                    <w:pStyle w:val="Compact"/>
                    <w:jc w:val="center"/>
                    <w:jc w:val="center"/>
                  </w:pPr>
                  <w:r>
                    <w:t xml:space="preserve">67968</w:t>
                  </w:r>
                </w:p>
              </w:tc>
              <w:tc>
                <w:tcPr/>
                <w:p>
                  <w:pPr>
                    <w:pStyle w:val="Compact"/>
                    <w:jc w:val="center"/>
                    <w:jc w:val="center"/>
                  </w:pPr>
                  <w:r>
                    <w:t xml:space="preserve">69569</w:t>
                  </w:r>
                </w:p>
              </w:tc>
              <w:tc>
                <w:tcPr/>
                <w:p>
                  <w:pPr>
                    <w:pStyle w:val="Compact"/>
                    <w:jc w:val="center"/>
                    <w:jc w:val="center"/>
                  </w:pPr>
                  <w:r>
                    <w:t xml:space="preserve">81187</w:t>
                  </w:r>
                </w:p>
              </w:tc>
              <w:tc>
                <w:tcPr/>
                <w:p>
                  <w:pPr>
                    <w:pStyle w:val="Compact"/>
                    <w:jc w:val="center"/>
                    <w:jc w:val="center"/>
                  </w:pPr>
                  <w:r>
                    <w:t xml:space="preserve">76383</w:t>
                  </w:r>
                </w:p>
              </w:tc>
              <w:tc>
                <w:tcPr/>
                <w:p>
                  <w:pPr>
                    <w:pStyle w:val="Compact"/>
                    <w:jc w:val="center"/>
                    <w:jc w:val="center"/>
                  </w:pPr>
                  <w:r>
                    <w:t xml:space="preserve">82118</w:t>
                  </w:r>
                </w:p>
              </w:tc>
              <w:tc>
                <w:tcPr/>
                <w:p>
                  <w:pPr>
                    <w:pStyle w:val="Compact"/>
                    <w:jc w:val="center"/>
                    <w:jc w:val="center"/>
                  </w:pPr>
                  <w:r>
                    <w:t xml:space="preserve">80219</w:t>
                  </w:r>
                </w:p>
              </w:tc>
              <w:tc>
                <w:tcPr/>
                <w:p>
                  <w:pPr>
                    <w:pStyle w:val="Compact"/>
                    <w:jc w:val="center"/>
                    <w:jc w:val="center"/>
                  </w:pPr>
                  <w:r>
                    <w:t xml:space="preserve">78852</w:t>
                  </w:r>
                </w:p>
              </w:tc>
              <w:tc>
                <w:tcPr/>
                <w:p>
                  <w:pPr>
                    <w:pStyle w:val="Compact"/>
                    <w:jc w:val="center"/>
                    <w:jc w:val="center"/>
                  </w:pPr>
                  <w:r>
                    <w:t xml:space="preserve">81345</w:t>
                  </w:r>
                </w:p>
              </w:tc>
              <w:tc>
                <w:tcPr/>
                <w:p>
                  <w:pPr>
                    <w:pStyle w:val="Compact"/>
                    <w:jc w:val="center"/>
                    <w:jc w:val="center"/>
                  </w:pPr>
                  <w:r>
                    <w:t xml:space="preserve">80868</w:t>
                  </w:r>
                </w:p>
              </w:tc>
              <w:tc>
                <w:tcPr/>
                <w:p>
                  <w:pPr>
                    <w:pStyle w:val="Compact"/>
                    <w:jc w:val="center"/>
                    <w:jc w:val="center"/>
                  </w:pPr>
                  <w:r>
                    <w:t xml:space="preserve">77913</w:t>
                  </w:r>
                </w:p>
              </w:tc>
              <w:tc>
                <w:tcPr/>
                <w:p>
                  <w:pPr>
                    <w:pStyle w:val="Compact"/>
                    <w:jc w:val="center"/>
                    <w:jc w:val="center"/>
                  </w:pPr>
                  <w:r>
                    <w:t xml:space="preserve">79366</w:t>
                  </w:r>
                </w:p>
              </w:tc>
              <w:tc>
                <w:tcPr/>
                <w:p>
                  <w:pPr>
                    <w:pStyle w:val="Compact"/>
                    <w:jc w:val="center"/>
                    <w:jc w:val="center"/>
                  </w:pPr>
                  <w:r>
                    <w:t xml:space="preserve">81803</w:t>
                  </w:r>
                </w:p>
              </w:tc>
            </w:tr>
            <w:tr>
              <w:tc>
                <w:tcPr/>
                <w:p>
                  <w:pPr>
                    <w:pStyle w:val="Compact"/>
                    <w:jc w:val="center"/>
                    <w:jc w:val="center"/>
                  </w:pPr>
                  <w:r>
                    <w:t xml:space="preserve">2023</w:t>
                  </w:r>
                </w:p>
              </w:tc>
              <w:tc>
                <w:tcPr/>
                <w:p>
                  <w:pPr>
                    <w:pStyle w:val="Compact"/>
                    <w:jc w:val="center"/>
                    <w:jc w:val="center"/>
                  </w:pPr>
                  <w:r>
                    <w:t xml:space="preserve">Comercial</w:t>
                  </w:r>
                </w:p>
              </w:tc>
              <w:tc>
                <w:tcPr/>
                <w:p>
                  <w:pPr>
                    <w:pStyle w:val="Compact"/>
                    <w:jc w:val="center"/>
                    <w:jc w:val="center"/>
                  </w:pPr>
                  <w:r>
                    <w:t xml:space="preserve">1667631</w:t>
                  </w:r>
                </w:p>
              </w:tc>
              <w:tc>
                <w:tcPr/>
                <w:p>
                  <w:pPr>
                    <w:pStyle w:val="Compact"/>
                    <w:jc w:val="center"/>
                    <w:jc w:val="center"/>
                  </w:pPr>
                  <w:r>
                    <w:t xml:space="preserve">149483</w:t>
                  </w:r>
                </w:p>
              </w:tc>
              <w:tc>
                <w:tcPr/>
                <w:p>
                  <w:pPr>
                    <w:pStyle w:val="Compact"/>
                    <w:jc w:val="center"/>
                    <w:jc w:val="center"/>
                  </w:pPr>
                  <w:r>
                    <w:t xml:space="preserve">124623</w:t>
                  </w:r>
                </w:p>
              </w:tc>
              <w:tc>
                <w:tcPr/>
                <w:p>
                  <w:pPr>
                    <w:pStyle w:val="Compact"/>
                    <w:jc w:val="center"/>
                    <w:jc w:val="center"/>
                  </w:pPr>
                  <w:r>
                    <w:t xml:space="preserve">140152</w:t>
                  </w:r>
                </w:p>
              </w:tc>
              <w:tc>
                <w:tcPr/>
                <w:p>
                  <w:pPr>
                    <w:pStyle w:val="Compact"/>
                    <w:jc w:val="center"/>
                    <w:jc w:val="center"/>
                  </w:pPr>
                  <w:r>
                    <w:t xml:space="preserve">132081</w:t>
                  </w:r>
                </w:p>
              </w:tc>
              <w:tc>
                <w:tcPr/>
                <w:p>
                  <w:pPr>
                    <w:pStyle w:val="Compact"/>
                    <w:jc w:val="center"/>
                    <w:jc w:val="center"/>
                  </w:pPr>
                  <w:r>
                    <w:t xml:space="preserve">140803</w:t>
                  </w:r>
                </w:p>
              </w:tc>
              <w:tc>
                <w:tcPr/>
                <w:p>
                  <w:pPr>
                    <w:pStyle w:val="Compact"/>
                    <w:jc w:val="center"/>
                    <w:jc w:val="center"/>
                  </w:pPr>
                  <w:r>
                    <w:t xml:space="preserve">134984</w:t>
                  </w:r>
                </w:p>
              </w:tc>
              <w:tc>
                <w:tcPr/>
                <w:p>
                  <w:pPr>
                    <w:pStyle w:val="Compact"/>
                    <w:jc w:val="center"/>
                    <w:jc w:val="center"/>
                  </w:pPr>
                  <w:r>
                    <w:t xml:space="preserve">148942</w:t>
                  </w:r>
                </w:p>
              </w:tc>
              <w:tc>
                <w:tcPr/>
                <w:p>
                  <w:pPr>
                    <w:pStyle w:val="Compact"/>
                    <w:jc w:val="center"/>
                    <w:jc w:val="center"/>
                  </w:pPr>
                  <w:r>
                    <w:t xml:space="preserve">145362</w:t>
                  </w:r>
                </w:p>
              </w:tc>
              <w:tc>
                <w:tcPr/>
                <w:p>
                  <w:pPr>
                    <w:pStyle w:val="Compact"/>
                    <w:jc w:val="center"/>
                    <w:jc w:val="center"/>
                  </w:pPr>
                  <w:r>
                    <w:t xml:space="preserve">136739</w:t>
                  </w:r>
                </w:p>
              </w:tc>
              <w:tc>
                <w:tcPr/>
                <w:p>
                  <w:pPr>
                    <w:pStyle w:val="Compact"/>
                    <w:jc w:val="center"/>
                    <w:jc w:val="center"/>
                  </w:pPr>
                  <w:r>
                    <w:t xml:space="preserve">137553</w:t>
                  </w:r>
                </w:p>
              </w:tc>
              <w:tc>
                <w:tcPr/>
                <w:p>
                  <w:pPr>
                    <w:pStyle w:val="Compact"/>
                    <w:jc w:val="center"/>
                    <w:jc w:val="center"/>
                  </w:pPr>
                  <w:r>
                    <w:t xml:space="preserve">133942</w:t>
                  </w:r>
                </w:p>
              </w:tc>
              <w:tc>
                <w:tcPr/>
                <w:p>
                  <w:pPr>
                    <w:pStyle w:val="Compact"/>
                    <w:jc w:val="center"/>
                    <w:jc w:val="center"/>
                  </w:pPr>
                  <w:r>
                    <w:t xml:space="preserve">142967</w:t>
                  </w:r>
                </w:p>
              </w:tc>
            </w:tr>
            <w:tr>
              <w:tc>
                <w:tcPr/>
                <w:p>
                  <w:pPr>
                    <w:pStyle w:val="Compact"/>
                    <w:jc w:val="center"/>
                    <w:jc w:val="center"/>
                  </w:pPr>
                  <w:r>
                    <w:t xml:space="preserve">2023</w:t>
                  </w:r>
                </w:p>
              </w:tc>
              <w:tc>
                <w:tcPr/>
                <w:p>
                  <w:pPr>
                    <w:pStyle w:val="Compact"/>
                    <w:jc w:val="center"/>
                    <w:jc w:val="center"/>
                  </w:pPr>
                  <w:r>
                    <w:t xml:space="preserve">Militar</w:t>
                  </w:r>
                </w:p>
              </w:tc>
              <w:tc>
                <w:tcPr/>
                <w:p>
                  <w:pPr>
                    <w:pStyle w:val="Compact"/>
                    <w:jc w:val="center"/>
                    <w:jc w:val="center"/>
                  </w:pPr>
                  <w:r>
                    <w:t xml:space="preserve">196709</w:t>
                  </w:r>
                </w:p>
              </w:tc>
              <w:tc>
                <w:tcPr/>
                <w:p>
                  <w:pPr>
                    <w:pStyle w:val="Compact"/>
                    <w:jc w:val="center"/>
                    <w:jc w:val="center"/>
                  </w:pPr>
                  <w:r>
                    <w:t xml:space="preserve">10502</w:t>
                  </w:r>
                </w:p>
              </w:tc>
              <w:tc>
                <w:tcPr/>
                <w:p>
                  <w:pPr>
                    <w:pStyle w:val="Compact"/>
                    <w:jc w:val="center"/>
                    <w:jc w:val="center"/>
                  </w:pPr>
                  <w:r>
                    <w:t xml:space="preserve">12699</w:t>
                  </w:r>
                </w:p>
              </w:tc>
              <w:tc>
                <w:tcPr/>
                <w:p>
                  <w:pPr>
                    <w:pStyle w:val="Compact"/>
                    <w:jc w:val="center"/>
                    <w:jc w:val="center"/>
                  </w:pPr>
                  <w:r>
                    <w:t xml:space="preserve">17014</w:t>
                  </w:r>
                </w:p>
              </w:tc>
              <w:tc>
                <w:tcPr/>
                <w:p>
                  <w:pPr>
                    <w:pStyle w:val="Compact"/>
                    <w:jc w:val="center"/>
                    <w:jc w:val="center"/>
                  </w:pPr>
                  <w:r>
                    <w:t xml:space="preserve">16049</w:t>
                  </w:r>
                </w:p>
              </w:tc>
              <w:tc>
                <w:tcPr/>
                <w:p>
                  <w:pPr>
                    <w:pStyle w:val="Compact"/>
                    <w:jc w:val="center"/>
                    <w:jc w:val="center"/>
                  </w:pPr>
                  <w:r>
                    <w:t xml:space="preserve">19815</w:t>
                  </w:r>
                </w:p>
              </w:tc>
              <w:tc>
                <w:tcPr/>
                <w:p>
                  <w:pPr>
                    <w:pStyle w:val="Compact"/>
                    <w:jc w:val="center"/>
                    <w:jc w:val="center"/>
                  </w:pPr>
                  <w:r>
                    <w:t xml:space="preserve">18610</w:t>
                  </w:r>
                </w:p>
              </w:tc>
              <w:tc>
                <w:tcPr/>
                <w:p>
                  <w:pPr>
                    <w:pStyle w:val="Compact"/>
                    <w:jc w:val="center"/>
                    <w:jc w:val="center"/>
                  </w:pPr>
                  <w:r>
                    <w:t xml:space="preserve">17575</w:t>
                  </w:r>
                </w:p>
              </w:tc>
              <w:tc>
                <w:tcPr/>
                <w:p>
                  <w:pPr>
                    <w:pStyle w:val="Compact"/>
                    <w:jc w:val="center"/>
                    <w:jc w:val="center"/>
                  </w:pPr>
                  <w:r>
                    <w:t xml:space="preserve">19479</w:t>
                  </w:r>
                </w:p>
              </w:tc>
              <w:tc>
                <w:tcPr/>
                <w:p>
                  <w:pPr>
                    <w:pStyle w:val="Compact"/>
                    <w:jc w:val="center"/>
                    <w:jc w:val="center"/>
                  </w:pPr>
                  <w:r>
                    <w:t xml:space="preserve">18561</w:t>
                  </w:r>
                </w:p>
              </w:tc>
              <w:tc>
                <w:tcPr/>
                <w:p>
                  <w:pPr>
                    <w:pStyle w:val="Compact"/>
                    <w:jc w:val="center"/>
                    <w:jc w:val="center"/>
                  </w:pPr>
                  <w:r>
                    <w:t xml:space="preserve">18679</w:t>
                  </w:r>
                </w:p>
              </w:tc>
              <w:tc>
                <w:tcPr/>
                <w:p>
                  <w:pPr>
                    <w:pStyle w:val="Compact"/>
                    <w:jc w:val="center"/>
                    <w:jc w:val="center"/>
                  </w:pPr>
                  <w:r>
                    <w:t xml:space="preserve">16093</w:t>
                  </w:r>
                </w:p>
              </w:tc>
              <w:tc>
                <w:tcPr/>
                <w:p>
                  <w:pPr>
                    <w:pStyle w:val="Compact"/>
                    <w:jc w:val="center"/>
                    <w:jc w:val="center"/>
                  </w:pPr>
                  <w:r>
                    <w:t xml:space="preserve">11633</w:t>
                  </w:r>
                </w:p>
              </w:tc>
            </w:tr>
            <w:tr>
              <w:tc>
                <w:tcPr/>
                <w:p>
                  <w:pPr>
                    <w:pStyle w:val="Compact"/>
                    <w:jc w:val="center"/>
                    <w:jc w:val="center"/>
                  </w:pPr>
                  <w:r>
                    <w:t xml:space="preserve">2024</w:t>
                  </w:r>
                </w:p>
              </w:tc>
              <w:tc>
                <w:tcPr/>
                <w:p>
                  <w:pPr>
                    <w:pStyle w:val="Compact"/>
                    <w:jc w:val="center"/>
                    <w:jc w:val="center"/>
                  </w:pPr>
                  <w:r>
                    <w:t xml:space="preserve">Geral</w:t>
                  </w:r>
                </w:p>
              </w:tc>
              <w:tc>
                <w:tcPr/>
                <w:p>
                  <w:pPr>
                    <w:pStyle w:val="Compact"/>
                    <w:jc w:val="center"/>
                    <w:jc w:val="center"/>
                  </w:pPr>
                  <w:r>
                    <w:t xml:space="preserve">983904</w:t>
                  </w:r>
                </w:p>
              </w:tc>
              <w:tc>
                <w:tcPr/>
                <w:p>
                  <w:pPr>
                    <w:pStyle w:val="Compact"/>
                    <w:jc w:val="center"/>
                    <w:jc w:val="center"/>
                  </w:pPr>
                  <w:r>
                    <w:t xml:space="preserve">70205</w:t>
                  </w:r>
                </w:p>
              </w:tc>
              <w:tc>
                <w:tcPr/>
                <w:p>
                  <w:pPr>
                    <w:pStyle w:val="Compact"/>
                    <w:jc w:val="center"/>
                    <w:jc w:val="center"/>
                  </w:pPr>
                  <w:r>
                    <w:t xml:space="preserve">73512</w:t>
                  </w:r>
                </w:p>
              </w:tc>
              <w:tc>
                <w:tcPr/>
                <w:p>
                  <w:pPr>
                    <w:pStyle w:val="Compact"/>
                    <w:jc w:val="center"/>
                    <w:jc w:val="center"/>
                  </w:pPr>
                  <w:r>
                    <w:t xml:space="preserve">78415</w:t>
                  </w:r>
                </w:p>
              </w:tc>
              <w:tc>
                <w:tcPr/>
                <w:p>
                  <w:pPr>
                    <w:pStyle w:val="Compact"/>
                    <w:jc w:val="center"/>
                    <w:jc w:val="center"/>
                  </w:pPr>
                  <w:r>
                    <w:t xml:space="preserve">82070</w:t>
                  </w:r>
                </w:p>
              </w:tc>
              <w:tc>
                <w:tcPr/>
                <w:p>
                  <w:pPr>
                    <w:pStyle w:val="Compact"/>
                    <w:jc w:val="center"/>
                    <w:jc w:val="center"/>
                  </w:pPr>
                  <w:r>
                    <w:t xml:space="preserve">85894</w:t>
                  </w:r>
                </w:p>
              </w:tc>
              <w:tc>
                <w:tcPr/>
                <w:p>
                  <w:pPr>
                    <w:pStyle w:val="Compact"/>
                    <w:jc w:val="center"/>
                    <w:jc w:val="center"/>
                  </w:pPr>
                  <w:r>
                    <w:t xml:space="preserve">85734</w:t>
                  </w:r>
                </w:p>
              </w:tc>
              <w:tc>
                <w:tcPr/>
                <w:p>
                  <w:pPr>
                    <w:pStyle w:val="Compact"/>
                    <w:jc w:val="center"/>
                    <w:jc w:val="center"/>
                  </w:pPr>
                  <w:r>
                    <w:t xml:space="preserve">85056</w:t>
                  </w:r>
                </w:p>
              </w:tc>
              <w:tc>
                <w:tcPr/>
                <w:p>
                  <w:pPr>
                    <w:pStyle w:val="Compact"/>
                    <w:jc w:val="center"/>
                    <w:jc w:val="center"/>
                  </w:pPr>
                  <w:r>
                    <w:t xml:space="preserve">91116</w:t>
                  </w:r>
                </w:p>
              </w:tc>
              <w:tc>
                <w:tcPr/>
                <w:p>
                  <w:pPr>
                    <w:pStyle w:val="Compact"/>
                    <w:jc w:val="center"/>
                    <w:jc w:val="center"/>
                  </w:pPr>
                  <w:r>
                    <w:t xml:space="preserve">85248</w:t>
                  </w:r>
                </w:p>
              </w:tc>
              <w:tc>
                <w:tcPr/>
                <w:p>
                  <w:pPr>
                    <w:pStyle w:val="Compact"/>
                    <w:jc w:val="center"/>
                    <w:jc w:val="center"/>
                  </w:pPr>
                  <w:r>
                    <w:t xml:space="preserve">82510</w:t>
                  </w:r>
                </w:p>
              </w:tc>
              <w:tc>
                <w:tcPr/>
                <w:p>
                  <w:pPr>
                    <w:pStyle w:val="Compact"/>
                    <w:jc w:val="center"/>
                    <w:jc w:val="center"/>
                  </w:pPr>
                  <w:r>
                    <w:t xml:space="preserve">82034</w:t>
                  </w:r>
                </w:p>
              </w:tc>
              <w:tc>
                <w:tcPr/>
                <w:p>
                  <w:pPr>
                    <w:pStyle w:val="Compact"/>
                    <w:jc w:val="center"/>
                    <w:jc w:val="center"/>
                  </w:pPr>
                  <w:r>
                    <w:t xml:space="preserve">82110</w:t>
                  </w:r>
                </w:p>
              </w:tc>
            </w:tr>
            <w:tr>
              <w:tc>
                <w:tcPr/>
                <w:p>
                  <w:pPr>
                    <w:pStyle w:val="Compact"/>
                    <w:jc w:val="center"/>
                    <w:jc w:val="center"/>
                  </w:pPr>
                  <w:r>
                    <w:t xml:space="preserve">2024</w:t>
                  </w:r>
                </w:p>
              </w:tc>
              <w:tc>
                <w:tcPr/>
                <w:p>
                  <w:pPr>
                    <w:pStyle w:val="Compact"/>
                    <w:jc w:val="center"/>
                    <w:jc w:val="center"/>
                  </w:pPr>
                  <w:r>
                    <w:t xml:space="preserve">Comercial</w:t>
                  </w:r>
                </w:p>
              </w:tc>
              <w:tc>
                <w:tcPr/>
                <w:p>
                  <w:pPr>
                    <w:pStyle w:val="Compact"/>
                    <w:jc w:val="center"/>
                    <w:jc w:val="center"/>
                  </w:pPr>
                  <w:r>
                    <w:t xml:space="preserve">1681442</w:t>
                  </w:r>
                </w:p>
              </w:tc>
              <w:tc>
                <w:tcPr/>
                <w:p>
                  <w:pPr>
                    <w:pStyle w:val="Compact"/>
                    <w:jc w:val="center"/>
                    <w:jc w:val="center"/>
                  </w:pPr>
                  <w:r>
                    <w:t xml:space="preserve">145218</w:t>
                  </w:r>
                </w:p>
              </w:tc>
              <w:tc>
                <w:tcPr/>
                <w:p>
                  <w:pPr>
                    <w:pStyle w:val="Compact"/>
                    <w:jc w:val="center"/>
                    <w:jc w:val="center"/>
                  </w:pPr>
                  <w:r>
                    <w:t xml:space="preserve">130444</w:t>
                  </w:r>
                </w:p>
              </w:tc>
              <w:tc>
                <w:tcPr/>
                <w:p>
                  <w:pPr>
                    <w:pStyle w:val="Compact"/>
                    <w:jc w:val="center"/>
                    <w:jc w:val="center"/>
                  </w:pPr>
                  <w:r>
                    <w:t xml:space="preserve">137301</w:t>
                  </w:r>
                </w:p>
              </w:tc>
              <w:tc>
                <w:tcPr/>
                <w:p>
                  <w:pPr>
                    <w:pStyle w:val="Compact"/>
                    <w:jc w:val="center"/>
                    <w:jc w:val="center"/>
                  </w:pPr>
                  <w:r>
                    <w:t xml:space="preserve">138076</w:t>
                  </w:r>
                </w:p>
              </w:tc>
              <w:tc>
                <w:tcPr/>
                <w:p>
                  <w:pPr>
                    <w:pStyle w:val="Compact"/>
                    <w:jc w:val="center"/>
                    <w:jc w:val="center"/>
                  </w:pPr>
                  <w:r>
                    <w:t xml:space="preserve">133563</w:t>
                  </w:r>
                </w:p>
              </w:tc>
              <w:tc>
                <w:tcPr/>
                <w:p>
                  <w:pPr>
                    <w:pStyle w:val="Compact"/>
                    <w:jc w:val="center"/>
                    <w:jc w:val="center"/>
                  </w:pPr>
                  <w:r>
                    <w:t xml:space="preserve">133873</w:t>
                  </w:r>
                </w:p>
              </w:tc>
              <w:tc>
                <w:tcPr/>
                <w:p>
                  <w:pPr>
                    <w:pStyle w:val="Compact"/>
                    <w:jc w:val="center"/>
                    <w:jc w:val="center"/>
                  </w:pPr>
                  <w:r>
                    <w:t xml:space="preserve">150698</w:t>
                  </w:r>
                </w:p>
              </w:tc>
              <w:tc>
                <w:tcPr/>
                <w:p>
                  <w:pPr>
                    <w:pStyle w:val="Compact"/>
                    <w:jc w:val="center"/>
                    <w:jc w:val="center"/>
                  </w:pPr>
                  <w:r>
                    <w:t xml:space="preserve">145595</w:t>
                  </w:r>
                </w:p>
              </w:tc>
              <w:tc>
                <w:tcPr/>
                <w:p>
                  <w:pPr>
                    <w:pStyle w:val="Compact"/>
                    <w:jc w:val="center"/>
                    <w:jc w:val="center"/>
                  </w:pPr>
                  <w:r>
                    <w:t xml:space="preserve">139395</w:t>
                  </w:r>
                </w:p>
              </w:tc>
              <w:tc>
                <w:tcPr/>
                <w:p>
                  <w:pPr>
                    <w:pStyle w:val="Compact"/>
                    <w:jc w:val="center"/>
                    <w:jc w:val="center"/>
                  </w:pPr>
                  <w:r>
                    <w:t xml:space="preserve">143846</w:t>
                  </w:r>
                </w:p>
              </w:tc>
              <w:tc>
                <w:tcPr/>
                <w:p>
                  <w:pPr>
                    <w:pStyle w:val="Compact"/>
                    <w:jc w:val="center"/>
                    <w:jc w:val="center"/>
                  </w:pPr>
                  <w:r>
                    <w:t xml:space="preserve">137371</w:t>
                  </w:r>
                </w:p>
              </w:tc>
              <w:tc>
                <w:tcPr/>
                <w:p>
                  <w:pPr>
                    <w:pStyle w:val="Compact"/>
                    <w:jc w:val="center"/>
                    <w:jc w:val="center"/>
                  </w:pPr>
                  <w:r>
                    <w:t xml:space="preserve">146062</w:t>
                  </w:r>
                </w:p>
              </w:tc>
            </w:tr>
            <w:tr>
              <w:tc>
                <w:tcPr/>
                <w:p>
                  <w:pPr>
                    <w:pStyle w:val="Compact"/>
                    <w:jc w:val="center"/>
                    <w:jc w:val="center"/>
                  </w:pPr>
                  <w:r>
                    <w:t xml:space="preserve">2024</w:t>
                  </w:r>
                </w:p>
              </w:tc>
              <w:tc>
                <w:tcPr/>
                <w:p>
                  <w:pPr>
                    <w:pStyle w:val="Compact"/>
                    <w:jc w:val="center"/>
                    <w:jc w:val="center"/>
                  </w:pPr>
                  <w:r>
                    <w:t xml:space="preserve">Militar</w:t>
                  </w:r>
                </w:p>
              </w:tc>
              <w:tc>
                <w:tcPr/>
                <w:p>
                  <w:pPr>
                    <w:pStyle w:val="Compact"/>
                    <w:jc w:val="center"/>
                    <w:jc w:val="center"/>
                  </w:pPr>
                  <w:r>
                    <w:t xml:space="preserve">182869</w:t>
                  </w:r>
                </w:p>
              </w:tc>
              <w:tc>
                <w:tcPr/>
                <w:p>
                  <w:pPr>
                    <w:pStyle w:val="Compact"/>
                    <w:jc w:val="center"/>
                    <w:jc w:val="center"/>
                  </w:pPr>
                  <w:r>
                    <w:t xml:space="preserve">10880</w:t>
                  </w:r>
                </w:p>
              </w:tc>
              <w:tc>
                <w:tcPr/>
                <w:p>
                  <w:pPr>
                    <w:pStyle w:val="Compact"/>
                    <w:jc w:val="center"/>
                    <w:jc w:val="center"/>
                  </w:pPr>
                  <w:r>
                    <w:t xml:space="preserve">13010</w:t>
                  </w:r>
                </w:p>
              </w:tc>
              <w:tc>
                <w:tcPr/>
                <w:p>
                  <w:pPr>
                    <w:pStyle w:val="Compact"/>
                    <w:jc w:val="center"/>
                    <w:jc w:val="center"/>
                  </w:pPr>
                  <w:r>
                    <w:t xml:space="preserve">15052</w:t>
                  </w:r>
                </w:p>
              </w:tc>
              <w:tc>
                <w:tcPr/>
                <w:p>
                  <w:pPr>
                    <w:pStyle w:val="Compact"/>
                    <w:jc w:val="center"/>
                    <w:jc w:val="center"/>
                  </w:pPr>
                  <w:r>
                    <w:t xml:space="preserve">18040</w:t>
                  </w:r>
                </w:p>
              </w:tc>
              <w:tc>
                <w:tcPr/>
                <w:p>
                  <w:pPr>
                    <w:pStyle w:val="Compact"/>
                    <w:jc w:val="center"/>
                    <w:jc w:val="center"/>
                  </w:pPr>
                  <w:r>
                    <w:t xml:space="preserve">18059</w:t>
                  </w:r>
                </w:p>
              </w:tc>
              <w:tc>
                <w:tcPr/>
                <w:p>
                  <w:pPr>
                    <w:pStyle w:val="Compact"/>
                    <w:jc w:val="center"/>
                    <w:jc w:val="center"/>
                  </w:pPr>
                  <w:r>
                    <w:t xml:space="preserve">17398</w:t>
                  </w:r>
                </w:p>
              </w:tc>
              <w:tc>
                <w:tcPr/>
                <w:p>
                  <w:pPr>
                    <w:pStyle w:val="Compact"/>
                    <w:jc w:val="center"/>
                    <w:jc w:val="center"/>
                  </w:pPr>
                  <w:r>
                    <w:t xml:space="preserve">17956</w:t>
                  </w:r>
                </w:p>
              </w:tc>
              <w:tc>
                <w:tcPr/>
                <w:p>
                  <w:pPr>
                    <w:pStyle w:val="Compact"/>
                    <w:jc w:val="center"/>
                    <w:jc w:val="center"/>
                  </w:pPr>
                  <w:r>
                    <w:t xml:space="preserve">16585</w:t>
                  </w:r>
                </w:p>
              </w:tc>
              <w:tc>
                <w:tcPr/>
                <w:p>
                  <w:pPr>
                    <w:pStyle w:val="Compact"/>
                    <w:jc w:val="center"/>
                    <w:jc w:val="center"/>
                  </w:pPr>
                  <w:r>
                    <w:t xml:space="preserve">15133</w:t>
                  </w:r>
                </w:p>
              </w:tc>
              <w:tc>
                <w:tcPr/>
                <w:p>
                  <w:pPr>
                    <w:pStyle w:val="Compact"/>
                    <w:jc w:val="center"/>
                    <w:jc w:val="center"/>
                  </w:pPr>
                  <w:r>
                    <w:t xml:space="preserve">15918</w:t>
                  </w:r>
                </w:p>
              </w:tc>
              <w:tc>
                <w:tcPr/>
                <w:p>
                  <w:pPr>
                    <w:pStyle w:val="Compact"/>
                    <w:jc w:val="center"/>
                    <w:jc w:val="center"/>
                  </w:pPr>
                  <w:r>
                    <w:t xml:space="preserve">13816</w:t>
                  </w:r>
                </w:p>
              </w:tc>
              <w:tc>
                <w:tcPr/>
                <w:p>
                  <w:pPr>
                    <w:pStyle w:val="Compact"/>
                    <w:jc w:val="center"/>
                    <w:jc w:val="center"/>
                  </w:pPr>
                  <w:r>
                    <w:t xml:space="preserve">11022</w:t>
                  </w:r>
                </w:p>
              </w:tc>
            </w:tr>
            <w:tr>
              <w:tc>
                <w:tcPr/>
                <w:p>
                  <w:pPr>
                    <w:pStyle w:val="Compact"/>
                    <w:jc w:val="center"/>
                    <w:jc w:val="center"/>
                  </w:pPr>
                  <w:r>
                    <w:t xml:space="preserve">2025</w:t>
                  </w:r>
                </w:p>
              </w:tc>
              <w:tc>
                <w:tcPr/>
                <w:p>
                  <w:pPr>
                    <w:pStyle w:val="Compact"/>
                    <w:jc w:val="center"/>
                    <w:jc w:val="center"/>
                  </w:pPr>
                  <w:r>
                    <w:t xml:space="preserve">Geral</w:t>
                  </w:r>
                </w:p>
              </w:tc>
              <w:tc>
                <w:tcPr/>
                <w:p>
                  <w:pPr>
                    <w:pStyle w:val="Compact"/>
                    <w:jc w:val="center"/>
                    <w:jc w:val="center"/>
                  </w:pPr>
                  <w:r>
                    <w:t xml:space="preserve">1055652</w:t>
                  </w:r>
                </w:p>
              </w:tc>
              <w:tc>
                <w:tcPr/>
                <w:p>
                  <w:pPr>
                    <w:pStyle w:val="Compact"/>
                    <w:jc w:val="center"/>
                    <w:jc w:val="center"/>
                  </w:pPr>
                  <w:r>
                    <w:t xml:space="preserve">78160</w:t>
                  </w:r>
                </w:p>
              </w:tc>
              <w:tc>
                <w:tcPr/>
                <w:p>
                  <w:pPr>
                    <w:pStyle w:val="Compact"/>
                    <w:jc w:val="center"/>
                    <w:jc w:val="center"/>
                  </w:pPr>
                  <w:r>
                    <w:t xml:space="preserve">82710</w:t>
                  </w:r>
                </w:p>
              </w:tc>
              <w:tc>
                <w:tcPr/>
                <w:p>
                  <w:pPr>
                    <w:pStyle w:val="Compact"/>
                    <w:jc w:val="center"/>
                    <w:jc w:val="center"/>
                  </w:pPr>
                  <w:r>
                    <w:t xml:space="preserve">88820</w:t>
                  </w:r>
                </w:p>
              </w:tc>
              <w:tc>
                <w:tcPr/>
                <w:p>
                  <w:pPr>
                    <w:pStyle w:val="Compact"/>
                    <w:jc w:val="center"/>
                    <w:jc w:val="center"/>
                  </w:pPr>
                  <w:r>
                    <w:t xml:space="preserve">84362</w:t>
                  </w:r>
                </w:p>
              </w:tc>
              <w:tc>
                <w:tcPr/>
                <w:p>
                  <w:pPr>
                    <w:pStyle w:val="Compact"/>
                    <w:jc w:val="center"/>
                    <w:jc w:val="center"/>
                  </w:pPr>
                  <w:r>
                    <w:t xml:space="preserve">89834</w:t>
                  </w:r>
                </w:p>
              </w:tc>
              <w:tc>
                <w:tcPr/>
                <w:p>
                  <w:pPr>
                    <w:pStyle w:val="Compact"/>
                    <w:jc w:val="center"/>
                    <w:jc w:val="center"/>
                  </w:pPr>
                  <w:r>
                    <w:t xml:space="preserve">87495</w:t>
                  </w:r>
                </w:p>
              </w:tc>
              <w:tc>
                <w:tcPr/>
                <w:p>
                  <w:pPr>
                    <w:pStyle w:val="Compact"/>
                    <w:jc w:val="center"/>
                    <w:jc w:val="center"/>
                  </w:pPr>
                  <w:r>
                    <w:t xml:space="preserve">89320</w:t>
                  </w:r>
                </w:p>
              </w:tc>
              <w:tc>
                <w:tcPr/>
                <w:p>
                  <w:pPr>
                    <w:pStyle w:val="Compact"/>
                    <w:jc w:val="center"/>
                    <w:jc w:val="center"/>
                  </w:pPr>
                  <w:r>
                    <w:t xml:space="preserve">94076</w:t>
                  </w:r>
                </w:p>
              </w:tc>
              <w:tc>
                <w:tcPr/>
                <w:p>
                  <w:pPr>
                    <w:pStyle w:val="Compact"/>
                    <w:jc w:val="center"/>
                    <w:jc w:val="center"/>
                  </w:pPr>
                  <w:r>
                    <w:t xml:space="preserve">90003</w:t>
                  </w:r>
                </w:p>
              </w:tc>
              <w:tc>
                <w:tcPr/>
                <w:p>
                  <w:pPr>
                    <w:pStyle w:val="Compact"/>
                    <w:jc w:val="center"/>
                    <w:jc w:val="center"/>
                  </w:pPr>
                  <w:r>
                    <w:t xml:space="preserve">90602</w:t>
                  </w:r>
                </w:p>
              </w:tc>
              <w:tc>
                <w:tcPr/>
                <w:p>
                  <w:pPr>
                    <w:pStyle w:val="Compact"/>
                    <w:jc w:val="center"/>
                    <w:jc w:val="center"/>
                  </w:pPr>
                  <w:r>
                    <w:t xml:space="preserve">91080</w:t>
                  </w:r>
                </w:p>
              </w:tc>
              <w:tc>
                <w:tcPr/>
                <w:p>
                  <w:pPr>
                    <w:pStyle w:val="Compact"/>
                    <w:jc w:val="center"/>
                    <w:jc w:val="center"/>
                  </w:pPr>
                  <w:r>
                    <w:t xml:space="preserve">89190</w:t>
                  </w:r>
                </w:p>
              </w:tc>
            </w:tr>
            <w:tr>
              <w:tc>
                <w:tcPr/>
                <w:p>
                  <w:pPr>
                    <w:pStyle w:val="Compact"/>
                    <w:jc w:val="center"/>
                    <w:jc w:val="center"/>
                  </w:pPr>
                  <w:r>
                    <w:t xml:space="preserve">2025</w:t>
                  </w:r>
                </w:p>
              </w:tc>
              <w:tc>
                <w:tcPr/>
                <w:p>
                  <w:pPr>
                    <w:pStyle w:val="Compact"/>
                    <w:jc w:val="center"/>
                    <w:jc w:val="center"/>
                  </w:pPr>
                  <w:r>
                    <w:t xml:space="preserve">Comercial</w:t>
                  </w:r>
                </w:p>
              </w:tc>
              <w:tc>
                <w:tcPr/>
                <w:p>
                  <w:pPr>
                    <w:pStyle w:val="Compact"/>
                    <w:jc w:val="center"/>
                    <w:jc w:val="center"/>
                  </w:pPr>
                  <w:r>
                    <w:t xml:space="preserve">1735159</w:t>
                  </w:r>
                </w:p>
              </w:tc>
              <w:tc>
                <w:tcPr/>
                <w:p>
                  <w:pPr>
                    <w:pStyle w:val="Compact"/>
                    <w:jc w:val="center"/>
                    <w:jc w:val="center"/>
                  </w:pPr>
                  <w:r>
                    <w:t xml:space="preserve">152214</w:t>
                  </w:r>
                </w:p>
              </w:tc>
              <w:tc>
                <w:tcPr/>
                <w:p>
                  <w:pPr>
                    <w:pStyle w:val="Compact"/>
                    <w:jc w:val="center"/>
                    <w:jc w:val="center"/>
                  </w:pPr>
                  <w:r>
                    <w:t xml:space="preserve">133779</w:t>
                  </w:r>
                </w:p>
              </w:tc>
              <w:tc>
                <w:tcPr/>
                <w:p>
                  <w:pPr>
                    <w:pStyle w:val="Compact"/>
                    <w:jc w:val="center"/>
                    <w:jc w:val="center"/>
                  </w:pPr>
                  <w:r>
                    <w:t xml:space="preserve">141644</w:t>
                  </w:r>
                </w:p>
              </w:tc>
              <w:tc>
                <w:tcPr/>
                <w:p>
                  <w:pPr>
                    <w:pStyle w:val="Compact"/>
                    <w:jc w:val="center"/>
                    <w:jc w:val="center"/>
                  </w:pPr>
                  <w:r>
                    <w:t xml:space="preserve">139531</w:t>
                  </w:r>
                </w:p>
              </w:tc>
              <w:tc>
                <w:tcPr/>
                <w:p>
                  <w:pPr>
                    <w:pStyle w:val="Compact"/>
                    <w:jc w:val="center"/>
                    <w:jc w:val="center"/>
                  </w:pPr>
                  <w:r>
                    <w:t xml:space="preserve">144185</w:t>
                  </w:r>
                </w:p>
              </w:tc>
              <w:tc>
                <w:tcPr/>
                <w:p>
                  <w:pPr>
                    <w:pStyle w:val="Compact"/>
                    <w:jc w:val="center"/>
                    <w:jc w:val="center"/>
                  </w:pPr>
                  <w:r>
                    <w:t xml:space="preserve">140355</w:t>
                  </w:r>
                </w:p>
              </w:tc>
              <w:tc>
                <w:tcPr/>
                <w:p>
                  <w:pPr>
                    <w:pStyle w:val="Compact"/>
                    <w:jc w:val="center"/>
                    <w:jc w:val="center"/>
                  </w:pPr>
                  <w:r>
                    <w:t xml:space="preserve">150976</w:t>
                  </w:r>
                </w:p>
              </w:tc>
              <w:tc>
                <w:tcPr/>
                <w:p>
                  <w:pPr>
                    <w:pStyle w:val="Compact"/>
                    <w:jc w:val="center"/>
                    <w:jc w:val="center"/>
                  </w:pPr>
                  <w:r>
                    <w:t xml:space="preserve">146487</w:t>
                  </w:r>
                </w:p>
              </w:tc>
              <w:tc>
                <w:tcPr/>
                <w:p>
                  <w:pPr>
                    <w:pStyle w:val="Compact"/>
                    <w:jc w:val="center"/>
                    <w:jc w:val="center"/>
                  </w:pPr>
                  <w:r>
                    <w:t xml:space="preserve">143032</w:t>
                  </w:r>
                </w:p>
              </w:tc>
              <w:tc>
                <w:tcPr/>
                <w:p>
                  <w:pPr>
                    <w:pStyle w:val="Compact"/>
                    <w:jc w:val="center"/>
                    <w:jc w:val="center"/>
                  </w:pPr>
                  <w:r>
                    <w:t xml:space="preserve">149304</w:t>
                  </w:r>
                </w:p>
              </w:tc>
              <w:tc>
                <w:tcPr/>
                <w:p>
                  <w:pPr>
                    <w:pStyle w:val="Compact"/>
                    <w:jc w:val="center"/>
                    <w:jc w:val="center"/>
                  </w:pPr>
                  <w:r>
                    <w:t xml:space="preserve">142751</w:t>
                  </w:r>
                </w:p>
              </w:tc>
              <w:tc>
                <w:tcPr/>
                <w:p>
                  <w:pPr>
                    <w:pStyle w:val="Compact"/>
                    <w:jc w:val="center"/>
                    <w:jc w:val="center"/>
                  </w:pPr>
                  <w:r>
                    <w:t xml:space="preserve">150901</w:t>
                  </w:r>
                </w:p>
              </w:tc>
            </w:tr>
            <w:tr>
              <w:tc>
                <w:tcPr/>
                <w:p>
                  <w:pPr>
                    <w:pStyle w:val="Compact"/>
                    <w:jc w:val="center"/>
                    <w:jc w:val="center"/>
                  </w:pPr>
                  <w:r>
                    <w:t xml:space="preserve">2025</w:t>
                  </w:r>
                </w:p>
              </w:tc>
              <w:tc>
                <w:tcPr/>
                <w:p>
                  <w:pPr>
                    <w:pStyle w:val="Compact"/>
                    <w:jc w:val="center"/>
                    <w:jc w:val="center"/>
                  </w:pPr>
                  <w:r>
                    <w:t xml:space="preserve">Militar</w:t>
                  </w:r>
                </w:p>
              </w:tc>
              <w:tc>
                <w:tcPr/>
                <w:p>
                  <w:pPr>
                    <w:pStyle w:val="Compact"/>
                    <w:jc w:val="center"/>
                    <w:jc w:val="center"/>
                  </w:pPr>
                  <w:r>
                    <w:t xml:space="preserve">160398</w:t>
                  </w:r>
                </w:p>
              </w:tc>
              <w:tc>
                <w:tcPr/>
                <w:p>
                  <w:pPr>
                    <w:pStyle w:val="Compact"/>
                    <w:jc w:val="center"/>
                    <w:jc w:val="center"/>
                  </w:pPr>
                  <w:r>
                    <w:t xml:space="preserve">8680</w:t>
                  </w:r>
                </w:p>
              </w:tc>
              <w:tc>
                <w:tcPr/>
                <w:p>
                  <w:pPr>
                    <w:pStyle w:val="Compact"/>
                    <w:jc w:val="center"/>
                    <w:jc w:val="center"/>
                  </w:pPr>
                  <w:r>
                    <w:t xml:space="preserve">12893</w:t>
                  </w:r>
                </w:p>
              </w:tc>
              <w:tc>
                <w:tcPr/>
                <w:p>
                  <w:pPr>
                    <w:pStyle w:val="Compact"/>
                    <w:jc w:val="center"/>
                    <w:jc w:val="center"/>
                  </w:pPr>
                  <w:r>
                    <w:t xml:space="preserve">14210</w:t>
                  </w:r>
                </w:p>
              </w:tc>
              <w:tc>
                <w:tcPr/>
                <w:p>
                  <w:pPr>
                    <w:pStyle w:val="Compact"/>
                    <w:jc w:val="center"/>
                    <w:jc w:val="center"/>
                  </w:pPr>
                  <w:r>
                    <w:t xml:space="preserve">14170</w:t>
                  </w:r>
                </w:p>
              </w:tc>
              <w:tc>
                <w:tcPr/>
                <w:p>
                  <w:pPr>
                    <w:pStyle w:val="Compact"/>
                    <w:jc w:val="center"/>
                    <w:jc w:val="center"/>
                  </w:pPr>
                  <w:r>
                    <w:t xml:space="preserve">16214</w:t>
                  </w:r>
                </w:p>
              </w:tc>
              <w:tc>
                <w:tcPr/>
                <w:p>
                  <w:pPr>
                    <w:pStyle w:val="Compact"/>
                    <w:jc w:val="center"/>
                    <w:jc w:val="center"/>
                  </w:pPr>
                  <w:r>
                    <w:t xml:space="preserve">14212</w:t>
                  </w:r>
                </w:p>
              </w:tc>
              <w:tc>
                <w:tcPr/>
                <w:p>
                  <w:pPr>
                    <w:pStyle w:val="Compact"/>
                    <w:jc w:val="center"/>
                    <w:jc w:val="center"/>
                  </w:pPr>
                  <w:r>
                    <w:t xml:space="preserve">13886</w:t>
                  </w:r>
                </w:p>
              </w:tc>
              <w:tc>
                <w:tcPr/>
                <w:p>
                  <w:pPr>
                    <w:pStyle w:val="Compact"/>
                    <w:jc w:val="center"/>
                    <w:jc w:val="center"/>
                  </w:pPr>
                  <w:r>
                    <w:t xml:space="preserve">13890</w:t>
                  </w:r>
                </w:p>
              </w:tc>
              <w:tc>
                <w:tcPr/>
                <w:p>
                  <w:pPr>
                    <w:pStyle w:val="Compact"/>
                    <w:jc w:val="center"/>
                    <w:jc w:val="center"/>
                  </w:pPr>
                  <w:r>
                    <w:t xml:space="preserve">14715</w:t>
                  </w:r>
                </w:p>
              </w:tc>
              <w:tc>
                <w:tcPr/>
                <w:p>
                  <w:pPr>
                    <w:pStyle w:val="Compact"/>
                    <w:jc w:val="center"/>
                    <w:jc w:val="center"/>
                  </w:pPr>
                  <w:r>
                    <w:t xml:space="preserve">14392</w:t>
                  </w:r>
                </w:p>
              </w:tc>
              <w:tc>
                <w:tcPr/>
                <w:p>
                  <w:pPr>
                    <w:pStyle w:val="Compact"/>
                    <w:jc w:val="center"/>
                    <w:jc w:val="center"/>
                  </w:pPr>
                  <w:r>
                    <w:t xml:space="preserve">12453</w:t>
                  </w:r>
                </w:p>
              </w:tc>
              <w:tc>
                <w:tcPr/>
                <w:p>
                  <w:pPr>
                    <w:pStyle w:val="Compact"/>
                    <w:jc w:val="center"/>
                    <w:jc w:val="center"/>
                  </w:pPr>
                  <w:r>
                    <w:t xml:space="preserve">10683</w:t>
                  </w:r>
                </w:p>
              </w:tc>
            </w:tr>
          </w:tbl>
          <w:bookmarkEnd w:id="54"/>
          <w:p/>
        </w:tc>
      </w:tr>
    </w:tbl>
    <w:tbl>
      <w:tblPr>
        <w:tblStyle w:val="Table"/>
        <w:tblW w:type="pct" w:w="5000"/>
        <w:tblLayout w:type="fixed"/>
        <w:tblLook w:firstRow="0" w:lastRow="0" w:firstColumn="0" w:lastColumn="0" w:noHBand="0" w:noVBand="0" w:val="0000"/>
      </w:tblPr>
      <w:tblGrid>
        <w:gridCol w:w="7920"/>
      </w:tblGrid>
      <w:tr>
        <w:tc>
          <w:tcPr/>
          <w:bookmarkStart w:id="58" w:name="fig-movimento-anual"/>
          <w:p>
            <w:pPr>
              <w:pStyle w:val="Compact"/>
              <w:jc w:val="center"/>
            </w:pPr>
            <w:r>
              <w:drawing>
                <wp:inline>
                  <wp:extent cx="6642100" cy="2767541"/>
                  <wp:effectExtent b="0" l="0" r="0" t="0"/>
                  <wp:docPr descr="" title="" id="56" name="Picture"/>
                  <a:graphic>
                    <a:graphicData uri="http://schemas.openxmlformats.org/drawingml/2006/picture">
                      <pic:pic>
                        <pic:nvPicPr>
                          <pic:cNvPr descr="02-CaracteristicadoSisceab_files/figure-docx/fig-movimento-anual-1.png" id="57" name="Picture"/>
                          <pic:cNvPicPr>
                            <a:picLocks noChangeArrowheads="1" noChangeAspect="1"/>
                          </pic:cNvPicPr>
                        </pic:nvPicPr>
                        <pic:blipFill>
                          <a:blip r:embed="rId55"/>
                          <a:stretch>
                            <a:fillRect/>
                          </a:stretch>
                        </pic:blipFill>
                        <pic:spPr bwMode="auto">
                          <a:xfrm>
                            <a:off x="0" y="0"/>
                            <a:ext cx="6642100" cy="2767541"/>
                          </a:xfrm>
                          <a:prstGeom prst="rect">
                            <a:avLst/>
                          </a:prstGeom>
                          <a:noFill/>
                          <a:ln w="9525">
                            <a:noFill/>
                            <a:headEnd/>
                            <a:tailEnd/>
                          </a:ln>
                        </pic:spPr>
                      </pic:pic>
                    </a:graphicData>
                  </a:graphic>
                </wp:inline>
              </w:drawing>
            </w:r>
          </w:p>
          <w:p>
            <w:pPr>
              <w:jc w:val="center"/>
            </w:pPr>
            <w:pPr>
              <w:jc w:val="left"/>
              <w:spacing w:before="200"/>
              <w:pStyle w:val="ImageCaption"/>
            </w:pPr>
            <w:r>
              <w:t xml:space="preserve">Figura 2.1: Movimento Anual Por Tipo de Voo</w:t>
            </w:r>
          </w:p>
          <w:bookmarkEnd w:id="58"/>
        </w:tc>
      </w:tr>
    </w:tbl>
    <w:p>
      <w:pPr>
        <w:pStyle w:val="Corpodetexto"/>
      </w:pPr>
      <w:r>
        <w:t xml:space="preserve">A</w:t>
      </w:r>
      <w:r>
        <w:t xml:space="preserve"> </w:t>
      </w:r>
      <w:hyperlink w:anchor="fig-media-movel">
        <w:r>
          <w:rPr>
            <w:rStyle w:val="Hyperlink"/>
          </w:rPr>
          <w:t xml:space="preserve">Figura 2.2</w:t>
        </w:r>
      </w:hyperlink>
      <w:r>
        <w:t xml:space="preserve"> </w:t>
      </w:r>
      <w:r>
        <w:t xml:space="preserve">ilustra a média móvel semanal dos</w:t>
      </w:r>
      <w:r>
        <w:t xml:space="preserve"> </w:t>
      </w:r>
      <w:r>
        <w:rPr>
          <w:b/>
          <w:bCs/>
        </w:rPr>
        <w:t xml:space="preserve">100 principais aeroportos</w:t>
      </w:r>
      <w:r>
        <w:t xml:space="preserve"> </w:t>
      </w:r>
      <w:r>
        <w:t xml:space="preserve">do SISCEAB.</w:t>
      </w:r>
    </w:p>
    <w:tbl>
      <w:tblPr>
        <w:tblStyle w:val="Table"/>
        <w:tblW w:type="pct" w:w="5000"/>
        <w:tblLayout w:type="fixed"/>
        <w:tblLook w:firstRow="0" w:lastRow="0" w:firstColumn="0" w:lastColumn="0" w:noHBand="0" w:noVBand="0" w:val="0000"/>
      </w:tblPr>
      <w:tblGrid>
        <w:gridCol w:w="7920"/>
      </w:tblGrid>
      <w:tr>
        <w:tc>
          <w:tcPr/>
          <w:bookmarkStart w:id="62" w:name="fig-media-movel"/>
          <w:p>
            <w:pPr>
              <w:pStyle w:val="Compact"/>
              <w:jc w:val="center"/>
            </w:pPr>
            <w:r>
              <w:drawing>
                <wp:inline>
                  <wp:extent cx="6642100" cy="2214033"/>
                  <wp:effectExtent b="0" l="0" r="0" t="0"/>
                  <wp:docPr descr="" title="" id="60" name="Picture"/>
                  <a:graphic>
                    <a:graphicData uri="http://schemas.openxmlformats.org/drawingml/2006/picture">
                      <pic:pic>
                        <pic:nvPicPr>
                          <pic:cNvPr descr="02-CaracteristicadoSisceab_files/figure-docx/fig-media-movel-1.png" id="61" name="Picture"/>
                          <pic:cNvPicPr>
                            <a:picLocks noChangeArrowheads="1" noChangeAspect="1"/>
                          </pic:cNvPicPr>
                        </pic:nvPicPr>
                        <pic:blipFill>
                          <a:blip r:embed="rId59"/>
                          <a:stretch>
                            <a:fillRect/>
                          </a:stretch>
                        </pic:blipFill>
                        <pic:spPr bwMode="auto">
                          <a:xfrm>
                            <a:off x="0" y="0"/>
                            <a:ext cx="6642100" cy="2214033"/>
                          </a:xfrm>
                          <a:prstGeom prst="rect">
                            <a:avLst/>
                          </a:prstGeom>
                          <a:noFill/>
                          <a:ln w="9525">
                            <a:noFill/>
                            <a:headEnd/>
                            <a:tailEnd/>
                          </a:ln>
                        </pic:spPr>
                      </pic:pic>
                    </a:graphicData>
                  </a:graphic>
                </wp:inline>
              </w:drawing>
            </w:r>
          </w:p>
          <w:p>
            <w:pPr>
              <w:jc w:val="center"/>
            </w:pPr>
            <w:pPr>
              <w:jc w:val="left"/>
              <w:spacing w:before="200"/>
              <w:pStyle w:val="ImageCaption"/>
            </w:pPr>
            <w:r>
              <w:t xml:space="preserve">Figura 2.2: Média Móvel Nacional de 2019 a 2025</w:t>
            </w:r>
          </w:p>
          <w:bookmarkEnd w:id="62"/>
        </w:tc>
      </w:tr>
    </w:tbl>
    <w:p>
      <w:pPr>
        <w:pStyle w:val="Corpodetexto"/>
      </w:pPr>
      <w:r>
        <w:t xml:space="preserve">A evolução histórica do fluxo aéreo na</w:t>
      </w:r>
      <w:r>
        <w:t xml:space="preserve"> </w:t>
      </w:r>
      <w:hyperlink w:anchor="fig-media-movel">
        <w:r>
          <w:rPr>
            <w:rStyle w:val="Hyperlink"/>
          </w:rPr>
          <w:t xml:space="preserve">Figura 2.2</w:t>
        </w:r>
      </w:hyperlink>
      <w:r>
        <w:t xml:space="preserve"> </w:t>
      </w:r>
      <w:r>
        <w:t xml:space="preserve">ilustra a resiliência do sistema após a retração severa de 2020 decorrente da Covid-19. A retomada ganhou força em 2023 e consolidou-se em 2024, quando foi superada a marca de 7.500 movimentos diários. O crescimento registrado em 2025 ratifica a capacidade do SISCEAB e a eficácia da gestão baseada em performance, que absorveu as oscilações sazonais e elevou a operação a um novo patamar de fluidez e segurança, superior aos registros históricos anteriores.</w:t>
      </w:r>
    </w:p>
    <w:bookmarkStart w:id="67" w:name="aviação-comercial-doméstica"/>
    <w:p>
      <w:pPr>
        <w:pStyle w:val="Ttulo4"/>
      </w:pPr>
      <w:r>
        <w:t xml:space="preserve">2.2.1.1 AVIAÇÃO COMERCIAL DOMÉSTICA</w:t>
      </w:r>
    </w:p>
    <w:p>
      <w:pPr>
        <w:pStyle w:val="FirstParagraph"/>
      </w:pPr>
      <w:r>
        <w:t xml:space="preserve">Iniciando-se as análises referentes à aviação comercial doméstica, a</w:t>
      </w:r>
      <w:r>
        <w:t xml:space="preserve"> </w:t>
      </w:r>
      <w:hyperlink w:anchor="fig-mov-comercial-domestica">
        <w:r>
          <w:rPr>
            <w:rStyle w:val="Hyperlink"/>
          </w:rPr>
          <w:t xml:space="preserve">Figura 2.3</w:t>
        </w:r>
      </w:hyperlink>
      <w:r>
        <w:t xml:space="preserve"> </w:t>
      </w:r>
      <w:r>
        <w:t xml:space="preserve">apresenta a comparação entre o volume de operações no triênio 2023-2025.</w:t>
      </w:r>
    </w:p>
    <w:tbl>
      <w:tblPr>
        <w:tblStyle w:val="Table"/>
        <w:tblW w:type="pct" w:w="5000"/>
        <w:tblLayout w:type="fixed"/>
        <w:tblLook w:firstRow="0" w:lastRow="0" w:firstColumn="0" w:lastColumn="0" w:noHBand="0" w:noVBand="0" w:val="0000"/>
      </w:tblPr>
      <w:tblGrid>
        <w:gridCol w:w="7920"/>
      </w:tblGrid>
      <w:tr>
        <w:tc>
          <w:tcPr/>
          <w:bookmarkStart w:id="66" w:name="fig-mov-comercial-domestica"/>
          <w:p>
            <w:pPr>
              <w:pStyle w:val="Compact"/>
              <w:jc w:val="center"/>
            </w:pPr>
            <w:r>
              <w:drawing>
                <wp:inline>
                  <wp:extent cx="6642100" cy="2878243"/>
                  <wp:effectExtent b="0" l="0" r="0" t="0"/>
                  <wp:docPr descr="" title="" id="64" name="Picture"/>
                  <a:graphic>
                    <a:graphicData uri="http://schemas.openxmlformats.org/drawingml/2006/picture">
                      <pic:pic>
                        <pic:nvPicPr>
                          <pic:cNvPr descr="02-CaracteristicadoSisceab_files/figure-docx/fig-mov-comercial-domestica-1.png" id="65" name="Picture"/>
                          <pic:cNvPicPr>
                            <a:picLocks noChangeArrowheads="1" noChangeAspect="1"/>
                          </pic:cNvPicPr>
                        </pic:nvPicPr>
                        <pic:blipFill>
                          <a:blip r:embed="rId63"/>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2.3: Movimentos da Aviação Comercial Doméstica</w:t>
            </w:r>
          </w:p>
          <w:bookmarkEnd w:id="66"/>
        </w:tc>
      </w:tr>
    </w:tbl>
    <w:p>
      <w:pPr>
        <w:pStyle w:val="Corpodetexto"/>
      </w:pPr>
      <w:r>
        <w:t xml:space="preserve">A aviação comercial doméstica, ao registrar 1.572.629 operações, apresentou uma expansão de 2,2% em relação ao volume registrado em 2024.</w:t>
      </w:r>
    </w:p>
    <w:p>
      <w:pPr>
        <w:pStyle w:val="Corpodetexto"/>
      </w:pPr>
      <w:r>
        <w:t xml:space="preserve">Apesar de terem sido registradas variações anuais de aproximadamente 2%, para mais e para menos, na maioria dos meses, o mês de maior destaque para a aviação comercial doméstica foi janeiro. Houve um crescimento de 3,7% e o maior movimento desse segmento em 2025. Foram 137.275 operações, uma demanda que, em função da sazonalidade (período de férias), costuma registrar resultados mais expressivos.</w:t>
      </w:r>
    </w:p>
    <w:p>
      <w:pPr>
        <w:pStyle w:val="Corpodetexto"/>
      </w:pPr>
      <w:r>
        <w:t xml:space="preserve">Durante o último trimestre de 2025, a aviação comercial doméstica registrou melhores resultados em relação aos de 2024.</w:t>
      </w:r>
    </w:p>
    <w:bookmarkEnd w:id="67"/>
    <w:bookmarkStart w:id="72" w:name="aviação-comercial-internacional"/>
    <w:p>
      <w:pPr>
        <w:pStyle w:val="Ttulo4"/>
      </w:pPr>
      <w:r>
        <w:t xml:space="preserve">2.2.1.2 AVIAÇÃO COMERCIAL INTERNACIONAL</w:t>
      </w:r>
    </w:p>
    <w:p>
      <w:pPr>
        <w:pStyle w:val="FirstParagraph"/>
      </w:pPr>
      <w:r>
        <w:t xml:space="preserve">A Aviação Comercial Internacional tem mostrado significativa evolução no SISCEAB, consolidando uma trajetória de expressivo crescimento. O setor encerrou o ciclo de 2025 com um total de 162.530 movimentos, o que representa um aumento de 14,1% em comparação aos 142.437 movimentos registrados em 2024.</w:t>
      </w:r>
    </w:p>
    <w:p>
      <w:pPr>
        <w:pStyle w:val="Corpodetexto"/>
      </w:pPr>
      <w:r>
        <w:t xml:space="preserve">A análise mensal demonstra consistência ao longo de todo o ano, com variações positivas em todos os meses. O primeiro trimestre concentrou saltos percentuais relevantes, com destaque para os meses de março (17,9%) e julho (16,6%). Essa tendência de alta foi mantida mesmo nos períodos de menor crescimento relativo, como em dezembro, onde o setor registrou uma expansão de 9,3%, evidenciando que a demanda internacional operou em patamares superiores aos ciclos anteriores.</w:t>
      </w:r>
    </w:p>
    <w:p>
      <w:pPr>
        <w:pStyle w:val="Corpodetexto"/>
      </w:pPr>
      <w:r>
        <w:t xml:space="preserve">Em termos absolutos, o volume operacional acompanhou as janelas de conectividade global e as temporadas de férias, culminando nos maiores registros de tráfego nos meses de janeiro (14.939) e julho (14.850 movimentos), conforme observado na</w:t>
      </w:r>
      <w:r>
        <w:t xml:space="preserve"> </w:t>
      </w:r>
      <w:hyperlink w:anchor="fig-mov-comercial-internacional">
        <w:r>
          <w:rPr>
            <w:rStyle w:val="Hyperlink"/>
          </w:rPr>
          <w:t xml:space="preserve">Figura 2.4</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71" w:name="fig-mov-comercial-internacional"/>
          <w:p>
            <w:pPr>
              <w:pStyle w:val="Compact"/>
              <w:jc w:val="center"/>
            </w:pPr>
            <w:r>
              <w:drawing>
                <wp:inline>
                  <wp:extent cx="6642100" cy="2878243"/>
                  <wp:effectExtent b="0" l="0" r="0" t="0"/>
                  <wp:docPr descr="" title="" id="69" name="Picture"/>
                  <a:graphic>
                    <a:graphicData uri="http://schemas.openxmlformats.org/drawingml/2006/picture">
                      <pic:pic>
                        <pic:nvPicPr>
                          <pic:cNvPr descr="02-CaracteristicadoSisceab_files/figure-docx/fig-mov-comercial-internacional-1.png" id="70" name="Picture"/>
                          <pic:cNvPicPr>
                            <a:picLocks noChangeArrowheads="1" noChangeAspect="1"/>
                          </pic:cNvPicPr>
                        </pic:nvPicPr>
                        <pic:blipFill>
                          <a:blip r:embed="rId68"/>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2.4: Movimentos da Aviação Comercial Internacional</w:t>
            </w:r>
          </w:p>
          <w:bookmarkEnd w:id="71"/>
        </w:tc>
      </w:tr>
    </w:tbl>
    <w:bookmarkEnd w:id="72"/>
    <w:bookmarkStart w:id="77" w:name="aviação-geral"/>
    <w:p>
      <w:pPr>
        <w:pStyle w:val="Ttulo4"/>
      </w:pPr>
      <w:r>
        <w:t xml:space="preserve">2.2.1.3 AVIAÇÃO GERAL</w:t>
      </w:r>
    </w:p>
    <w:p>
      <w:pPr>
        <w:pStyle w:val="FirstParagraph"/>
      </w:pPr>
      <w:r>
        <w:t xml:space="preserve">A Aviação Geral reafirmou sua importância estratégica para a capilaridade do sistema aéreo brasileiro em 2025, encerrando o ciclo com um total acumulado de 1.055.652 movimentos. Este volume representa um crescimento consolidado de 7,3% em relação às 983.904 operações registradas em 2024, mantendo uma trajetória de expansão superior à média da aviação comercial nacional.</w:t>
      </w:r>
    </w:p>
    <w:p>
      <w:pPr>
        <w:pStyle w:val="Corpodetexto"/>
      </w:pPr>
      <w:r>
        <w:t xml:space="preserve">A análise revela uma consistência operacional robusta, com variações positivas em todos os meses do ano. O primeiro trimestre concentrou os maiores índices de crescimento relativo, com picos expressivos em março (13,3%), fevereiro (12,5%) e janeiro (11,3%). Essa tendência demonstra uma forte demanda ou a expansão de novos polos operacionais logo no início do período.</w:t>
      </w:r>
    </w:p>
    <w:p>
      <w:pPr>
        <w:pStyle w:val="Corpodetexto"/>
      </w:pPr>
      <w:r>
        <w:t xml:space="preserve">O tráfego apresentou uma elevação gradual ao longo do segundo semestre, culminando no maior registro mensal em agosto, com 94.076 movimentos. Outros meses de alta atividade incluíram novembro (91.080) e outubro (90.602), evidenciando que o segmento mantém um fluxo intenso e resiliente. Mesmo nos meses de menor crescimento percentual, como junho (2,1%), o volume absoluto permaneceu elevado, ratificando a maturidade do setor no país.</w:t>
      </w:r>
    </w:p>
    <w:tbl>
      <w:tblPr>
        <w:tblStyle w:val="Table"/>
        <w:tblW w:type="pct" w:w="5000"/>
        <w:tblLayout w:type="fixed"/>
        <w:tblLook w:firstRow="0" w:lastRow="0" w:firstColumn="0" w:lastColumn="0" w:noHBand="0" w:noVBand="0" w:val="0000"/>
      </w:tblPr>
      <w:tblGrid>
        <w:gridCol w:w="7920"/>
      </w:tblGrid>
      <w:tr>
        <w:tc>
          <w:tcPr/>
          <w:bookmarkStart w:id="76" w:name="fig-mov-geral"/>
          <w:p>
            <w:pPr>
              <w:pStyle w:val="Compact"/>
              <w:jc w:val="center"/>
            </w:pPr>
            <w:r>
              <w:drawing>
                <wp:inline>
                  <wp:extent cx="6642100" cy="2878243"/>
                  <wp:effectExtent b="0" l="0" r="0" t="0"/>
                  <wp:docPr descr="" title="" id="74" name="Picture"/>
                  <a:graphic>
                    <a:graphicData uri="http://schemas.openxmlformats.org/drawingml/2006/picture">
                      <pic:pic>
                        <pic:nvPicPr>
                          <pic:cNvPr descr="02-CaracteristicadoSisceab_files/figure-docx/fig-mov-geral-1.png" id="75" name="Picture"/>
                          <pic:cNvPicPr>
                            <a:picLocks noChangeArrowheads="1" noChangeAspect="1"/>
                          </pic:cNvPicPr>
                        </pic:nvPicPr>
                        <pic:blipFill>
                          <a:blip r:embed="rId73"/>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2.5: Movimentos da Aviação Geral</w:t>
            </w:r>
          </w:p>
          <w:bookmarkEnd w:id="76"/>
        </w:tc>
      </w:tr>
    </w:tbl>
    <w:bookmarkEnd w:id="77"/>
    <w:bookmarkEnd w:id="78"/>
    <w:bookmarkStart w:id="80" w:name="ranking-dos-aeroportos"/>
    <w:p>
      <w:pPr>
        <w:pStyle w:val="Ttulo3"/>
      </w:pPr>
      <w:r>
        <w:t xml:space="preserve">2.2.2</w:t>
      </w:r>
      <w:r>
        <w:t xml:space="preserve"> </w:t>
      </w:r>
      <w:r>
        <w:rPr>
          <w:i/>
          <w:iCs/>
        </w:rPr>
        <w:t xml:space="preserve">RANKING</w:t>
      </w:r>
      <w:r>
        <w:t xml:space="preserve"> </w:t>
      </w:r>
      <w:r>
        <w:t xml:space="preserve">DOS AEROPORTOS</w:t>
      </w:r>
    </w:p>
    <w:p>
      <w:pPr>
        <w:pStyle w:val="FirstParagraph"/>
      </w:pPr>
      <w:r>
        <w:t xml:space="preserve">Ao longo dos anos são registrados e analisados os pousos e decolagens nos principais aeródromos do país, cujos volumes de operação permitem a elaboração de um ranking nacional. A</w:t>
      </w:r>
      <w:r>
        <w:t xml:space="preserve"> </w:t>
      </w:r>
      <w:hyperlink w:anchor="tbl-ranking-aeroportos">
        <w:r>
          <w:rPr>
            <w:rStyle w:val="Hyperlink"/>
          </w:rPr>
          <w:t xml:space="preserve">Tabela 2.5</w:t>
        </w:r>
      </w:hyperlink>
      <w:r>
        <w:t xml:space="preserve"> </w:t>
      </w:r>
      <w:r>
        <w:t xml:space="preserve">consolida esses dados e evidencia a variação do número de movimentos aéreos entre 2024 e 2025, possibilitando uma leitura comparativa do desempenho anual.</w:t>
      </w:r>
    </w:p>
    <w:p>
      <w:pPr>
        <w:pStyle w:val="Corpodetexto"/>
      </w:pPr>
      <w:r>
        <w:t xml:space="preserve">A análise desse conjunto de informações contribui para a identificação de tendências de crescimento do tráfego, bem como para a compreensão dos desafios de natureza estrutural enfrentados pelos aeródromos e dos efeitos decorrentes de políticas públicas e transformações mais relevantes no setor aéreo brasileiro.</w:t>
      </w:r>
    </w:p>
    <w:p>
      <w:pPr>
        <w:pStyle w:val="Corpodetexto"/>
      </w:pPr>
      <w:r>
        <w:t xml:space="preserve">No conjunto dos primeiros 50 aeródromos do</w:t>
      </w:r>
      <w:r>
        <w:t xml:space="preserve"> </w:t>
      </w:r>
      <w:r>
        <w:rPr>
          <w:i/>
          <w:iCs/>
        </w:rPr>
        <w:t xml:space="preserve">ranking</w:t>
      </w:r>
      <w:r>
        <w:t xml:space="preserve">, observa-se como principal destaque a retomada do volume de operações no Aeródromo de Porto Alegre (SBPA), que apresentou uma variação positiva de 108% em relação ao ano anterior, fortemente impactado por um evento climático extremo.</w:t>
      </w:r>
    </w:p>
    <w:p>
      <w:pPr>
        <w:pStyle w:val="Corpodetexto"/>
      </w:pPr>
      <w:r>
        <w:t xml:space="preserve">Os aeroportos da TMA São Paulo tiveram variações relevantes, motivadas, em parte, pelo êxodo da aviação geral do Aeroporto de Congonhas, que registrou redução de 8,4% em relação ao ano anterior. Enquanto isso, os seguintes aeroportos tiveram crescimento: Campo de Marte (14,7%); Jundiaí (24,4%); Catarina (52,4%).</w:t>
      </w:r>
    </w:p>
    <w:p>
      <w:pPr>
        <w:pStyle w:val="Corpodetexto"/>
      </w:pPr>
      <w:r>
        <w:t xml:space="preserve">Também merecem atenção dois aeroportos da TMA Rio de Janeiro. O Aeroporto de Jacarepaguá (SBJR) registrou um crescimento expressivo de 29,0%, totalizando 106.318 movimentos ao longo do período analisado. Já o Aeroporto Internacional do Galeão teve um incremento de 18,2% em 2025, contabilizando 129.551 movimentos.</w:t>
      </w:r>
    </w:p>
    <w:p>
      <w:pPr>
        <w:pStyle w:val="Corpodetexto"/>
      </w:pPr>
      <w:r>
        <w:t xml:space="preserve">Informações complementares relativas ao movimento total dos demais aeródromos encontram-se disponíveis para consulta no anuário estatístico do CGNA.</w:t>
      </w:r>
    </w:p>
    <w:tbl>
      <w:tblPr>
        <w:tblStyle w:val="Table"/>
        <w:tblW w:type="pct" w:w="5000"/>
        <w:tblLayout w:type="fixed"/>
        <w:tblLook w:firstRow="0" w:lastRow="0" w:firstColumn="0" w:lastColumn="0" w:noHBand="0" w:noVBand="0" w:val="0000"/>
      </w:tblPr>
      <w:tblGrid>
        <w:gridCol w:w="7920"/>
      </w:tblGrid>
      <w:tr>
        <w:tc>
          <w:tcPr/>
          <w:bookmarkStart w:id="79" w:name="tbl-ranking-aeroportos"/>
          <w:p>
            <w:pPr>
              <w:jc w:val="center"/>
            </w:pPr>
            <w:pPr>
              <w:jc w:val="left"/>
              <w:spacing w:before="200"/>
              <w:pStyle w:val="ImageCaption"/>
            </w:pPr>
            <w:r>
              <w:t xml:space="preserve">Tabela 2.5: Ranking dos Aeroportos</w:t>
            </w:r>
          </w:p>
          <w:tbl>
            <w:tblPr>
              <w:tblStyle w:val="Table"/>
              <w:tblW w:type="pct" w:w="5000"/>
              <w:tblLayout w:type="fixed"/>
              <w:tblLook w:firstRow="1" w:lastRow="0" w:firstColumn="0" w:lastColumn="0" w:noHBand="0" w:noVBand="0" w:val="0020"/>
            </w:tblPr>
            <w:tblGrid>
              <w:gridCol w:w="672"/>
              <w:gridCol w:w="971"/>
              <w:gridCol w:w="2689"/>
              <w:gridCol w:w="597"/>
              <w:gridCol w:w="597"/>
              <w:gridCol w:w="821"/>
              <w:gridCol w:w="1569"/>
            </w:tblGrid>
            <w:tr>
              <w:trPr>
                <w:tblHeader w:val="on"/>
              </w:trPr>
              <w:tc>
                <w:tcPr/>
                <w:p>
                  <w:pPr>
                    <w:pStyle w:val="Compact"/>
                    <w:jc w:val="center"/>
                    <w:jc w:val="center"/>
                  </w:pPr>
                  <w:r>
                    <w:t xml:space="preserve">posição</w:t>
                  </w:r>
                </w:p>
              </w:tc>
              <w:tc>
                <w:tcPr/>
                <w:p>
                  <w:pPr>
                    <w:pStyle w:val="Compact"/>
                    <w:jc w:val="center"/>
                    <w:jc w:val="center"/>
                  </w:pPr>
                  <w:r>
                    <w:t xml:space="preserve">código ICAO</w:t>
                  </w:r>
                </w:p>
              </w:tc>
              <w:tc>
                <w:tcPr/>
                <w:p>
                  <w:pPr>
                    <w:pStyle w:val="Compact"/>
                    <w:jc w:val="center"/>
                    <w:jc w:val="center"/>
                  </w:pPr>
                  <w:r>
                    <w:t xml:space="preserve">aeródromo</w:t>
                  </w:r>
                </w:p>
              </w:tc>
              <w:tc>
                <w:tcPr/>
                <w:p>
                  <w:pPr>
                    <w:pStyle w:val="Compact"/>
                    <w:jc w:val="center"/>
                    <w:jc w:val="center"/>
                  </w:pPr>
                  <w:r>
                    <w:t xml:space="preserve">2024</w:t>
                  </w:r>
                </w:p>
              </w:tc>
              <w:tc>
                <w:tcPr/>
                <w:p>
                  <w:pPr>
                    <w:pStyle w:val="Compact"/>
                    <w:jc w:val="center"/>
                    <w:jc w:val="center"/>
                  </w:pPr>
                  <w:r>
                    <w:t xml:space="preserve">2025</w:t>
                  </w:r>
                </w:p>
              </w:tc>
              <w:tc>
                <w:tcPr/>
                <w:p>
                  <w:pPr>
                    <w:pStyle w:val="Compact"/>
                    <w:jc w:val="center"/>
                    <w:jc w:val="center"/>
                  </w:pPr>
                  <w:r>
                    <w:t xml:space="preserve">diferença</w:t>
                  </w:r>
                </w:p>
              </w:tc>
              <w:tc>
                <w:tcPr/>
                <w:p>
                  <w:pPr>
                    <w:pStyle w:val="Compact"/>
                    <w:jc w:val="center"/>
                    <w:jc w:val="center"/>
                  </w:pPr>
                  <w:r>
                    <w:t xml:space="preserve">variação percentual</w:t>
                  </w:r>
                </w:p>
              </w:tc>
            </w:tr>
            <w:tr>
              <w:tc>
                <w:tcPr/>
                <w:p>
                  <w:pPr>
                    <w:pStyle w:val="Compact"/>
                    <w:jc w:val="center"/>
                    <w:jc w:val="center"/>
                  </w:pPr>
                  <w:r>
                    <w:t xml:space="preserve">1°</w:t>
                  </w:r>
                </w:p>
              </w:tc>
              <w:tc>
                <w:tcPr/>
                <w:p>
                  <w:pPr>
                    <w:pStyle w:val="Compact"/>
                    <w:jc w:val="center"/>
                    <w:jc w:val="center"/>
                  </w:pPr>
                  <w:r>
                    <w:t xml:space="preserve">SBGR</w:t>
                  </w:r>
                </w:p>
              </w:tc>
              <w:tc>
                <w:tcPr/>
                <w:p>
                  <w:pPr>
                    <w:pStyle w:val="Compact"/>
                    <w:jc w:val="center"/>
                    <w:jc w:val="center"/>
                  </w:pPr>
                  <w:r>
                    <w:t xml:space="preserve">Guarulhos</w:t>
                  </w:r>
                </w:p>
              </w:tc>
              <w:tc>
                <w:tcPr/>
                <w:p>
                  <w:pPr>
                    <w:pStyle w:val="Compact"/>
                    <w:jc w:val="center"/>
                    <w:jc w:val="center"/>
                  </w:pPr>
                  <w:r>
                    <w:t xml:space="preserve">289944</w:t>
                  </w:r>
                </w:p>
              </w:tc>
              <w:tc>
                <w:tcPr/>
                <w:p>
                  <w:pPr>
                    <w:pStyle w:val="Compact"/>
                    <w:jc w:val="center"/>
                    <w:jc w:val="center"/>
                  </w:pPr>
                  <w:r>
                    <w:t xml:space="preserve">306225</w:t>
                  </w:r>
                </w:p>
              </w:tc>
              <w:tc>
                <w:tcPr/>
                <w:p>
                  <w:pPr>
                    <w:pStyle w:val="Compact"/>
                    <w:jc w:val="center"/>
                    <w:jc w:val="center"/>
                  </w:pPr>
                  <w:r>
                    <w:t xml:space="preserve">16281</w:t>
                  </w:r>
                </w:p>
              </w:tc>
              <w:tc>
                <w:tcPr/>
                <w:p>
                  <w:pPr>
                    <w:pStyle w:val="Compact"/>
                    <w:jc w:val="center"/>
                    <w:jc w:val="center"/>
                  </w:pPr>
                  <w:r>
                    <w:t xml:space="preserve">5.6%</w:t>
                  </w:r>
                </w:p>
              </w:tc>
            </w:tr>
            <w:tr>
              <w:tc>
                <w:tcPr/>
                <w:p>
                  <w:pPr>
                    <w:pStyle w:val="Compact"/>
                    <w:jc w:val="center"/>
                    <w:jc w:val="center"/>
                  </w:pPr>
                  <w:r>
                    <w:t xml:space="preserve">2°</w:t>
                  </w:r>
                </w:p>
              </w:tc>
              <w:tc>
                <w:tcPr/>
                <w:p>
                  <w:pPr>
                    <w:pStyle w:val="Compact"/>
                    <w:jc w:val="center"/>
                    <w:jc w:val="center"/>
                  </w:pPr>
                  <w:r>
                    <w:t xml:space="preserve">SBSP</w:t>
                  </w:r>
                </w:p>
              </w:tc>
              <w:tc>
                <w:tcPr/>
                <w:p>
                  <w:pPr>
                    <w:pStyle w:val="Compact"/>
                    <w:jc w:val="center"/>
                    <w:jc w:val="center"/>
                  </w:pPr>
                  <w:r>
                    <w:t xml:space="preserve">Congonhas</w:t>
                  </w:r>
                </w:p>
              </w:tc>
              <w:tc>
                <w:tcPr/>
                <w:p>
                  <w:pPr>
                    <w:pStyle w:val="Compact"/>
                    <w:jc w:val="center"/>
                    <w:jc w:val="center"/>
                  </w:pPr>
                  <w:r>
                    <w:t xml:space="preserve">234689</w:t>
                  </w:r>
                </w:p>
              </w:tc>
              <w:tc>
                <w:tcPr/>
                <w:p>
                  <w:pPr>
                    <w:pStyle w:val="Compact"/>
                    <w:jc w:val="center"/>
                    <w:jc w:val="center"/>
                  </w:pPr>
                  <w:r>
                    <w:t xml:space="preserve">214916</w:t>
                  </w:r>
                </w:p>
              </w:tc>
              <w:tc>
                <w:tcPr/>
                <w:p>
                  <w:pPr>
                    <w:pStyle w:val="Compact"/>
                    <w:jc w:val="center"/>
                    <w:jc w:val="center"/>
                  </w:pPr>
                  <w:r>
                    <w:t xml:space="preserve">-19773</w:t>
                  </w:r>
                </w:p>
              </w:tc>
              <w:tc>
                <w:tcPr/>
                <w:p>
                  <w:pPr>
                    <w:pStyle w:val="Compact"/>
                    <w:jc w:val="center"/>
                    <w:jc w:val="center"/>
                  </w:pPr>
                  <w:r>
                    <w:t xml:space="preserve">-8.4%</w:t>
                  </w:r>
                </w:p>
              </w:tc>
            </w:tr>
            <w:tr>
              <w:tc>
                <w:tcPr/>
                <w:p>
                  <w:pPr>
                    <w:pStyle w:val="Compact"/>
                    <w:jc w:val="center"/>
                    <w:jc w:val="center"/>
                  </w:pPr>
                  <w:r>
                    <w:t xml:space="preserve">3°</w:t>
                  </w:r>
                </w:p>
              </w:tc>
              <w:tc>
                <w:tcPr/>
                <w:p>
                  <w:pPr>
                    <w:pStyle w:val="Compact"/>
                    <w:jc w:val="center"/>
                    <w:jc w:val="center"/>
                  </w:pPr>
                  <w:r>
                    <w:t xml:space="preserve">SBBR</w:t>
                  </w:r>
                </w:p>
              </w:tc>
              <w:tc>
                <w:tcPr/>
                <w:p>
                  <w:pPr>
                    <w:pStyle w:val="Compact"/>
                    <w:jc w:val="center"/>
                    <w:jc w:val="center"/>
                  </w:pPr>
                  <w:r>
                    <w:t xml:space="preserve">Brasília</w:t>
                  </w:r>
                </w:p>
              </w:tc>
              <w:tc>
                <w:tcPr/>
                <w:p>
                  <w:pPr>
                    <w:pStyle w:val="Compact"/>
                    <w:jc w:val="center"/>
                    <w:jc w:val="center"/>
                  </w:pPr>
                  <w:r>
                    <w:t xml:space="preserve">147957</w:t>
                  </w:r>
                </w:p>
              </w:tc>
              <w:tc>
                <w:tcPr/>
                <w:p>
                  <w:pPr>
                    <w:pStyle w:val="Compact"/>
                    <w:jc w:val="center"/>
                    <w:jc w:val="center"/>
                  </w:pPr>
                  <w:r>
                    <w:t xml:space="preserve">157135</w:t>
                  </w:r>
                </w:p>
              </w:tc>
              <w:tc>
                <w:tcPr/>
                <w:p>
                  <w:pPr>
                    <w:pStyle w:val="Compact"/>
                    <w:jc w:val="center"/>
                    <w:jc w:val="center"/>
                  </w:pPr>
                  <w:r>
                    <w:t xml:space="preserve">9178</w:t>
                  </w:r>
                </w:p>
              </w:tc>
              <w:tc>
                <w:tcPr/>
                <w:p>
                  <w:pPr>
                    <w:pStyle w:val="Compact"/>
                    <w:jc w:val="center"/>
                    <w:jc w:val="center"/>
                  </w:pPr>
                  <w:r>
                    <w:t xml:space="preserve">6.2%</w:t>
                  </w:r>
                </w:p>
              </w:tc>
            </w:tr>
            <w:tr>
              <w:tc>
                <w:tcPr/>
                <w:p>
                  <w:pPr>
                    <w:pStyle w:val="Compact"/>
                    <w:jc w:val="center"/>
                    <w:jc w:val="center"/>
                  </w:pPr>
                  <w:r>
                    <w:t xml:space="preserve">4°</w:t>
                  </w:r>
                </w:p>
              </w:tc>
              <w:tc>
                <w:tcPr/>
                <w:p>
                  <w:pPr>
                    <w:pStyle w:val="Compact"/>
                    <w:jc w:val="center"/>
                    <w:jc w:val="center"/>
                  </w:pPr>
                  <w:r>
                    <w:t xml:space="preserve">SBGL</w:t>
                  </w:r>
                </w:p>
              </w:tc>
              <w:tc>
                <w:tcPr/>
                <w:p>
                  <w:pPr>
                    <w:pStyle w:val="Compact"/>
                    <w:jc w:val="center"/>
                    <w:jc w:val="center"/>
                  </w:pPr>
                  <w:r>
                    <w:t xml:space="preserve">Galeão</w:t>
                  </w:r>
                </w:p>
              </w:tc>
              <w:tc>
                <w:tcPr/>
                <w:p>
                  <w:pPr>
                    <w:pStyle w:val="Compact"/>
                    <w:jc w:val="center"/>
                    <w:jc w:val="center"/>
                  </w:pPr>
                  <w:r>
                    <w:t xml:space="preserve">109606</w:t>
                  </w:r>
                </w:p>
              </w:tc>
              <w:tc>
                <w:tcPr/>
                <w:p>
                  <w:pPr>
                    <w:pStyle w:val="Compact"/>
                    <w:jc w:val="center"/>
                    <w:jc w:val="center"/>
                  </w:pPr>
                  <w:r>
                    <w:t xml:space="preserve">129551</w:t>
                  </w:r>
                </w:p>
              </w:tc>
              <w:tc>
                <w:tcPr/>
                <w:p>
                  <w:pPr>
                    <w:pStyle w:val="Compact"/>
                    <w:jc w:val="center"/>
                    <w:jc w:val="center"/>
                  </w:pPr>
                  <w:r>
                    <w:t xml:space="preserve">19945</w:t>
                  </w:r>
                </w:p>
              </w:tc>
              <w:tc>
                <w:tcPr/>
                <w:p>
                  <w:pPr>
                    <w:pStyle w:val="Compact"/>
                    <w:jc w:val="center"/>
                    <w:jc w:val="center"/>
                  </w:pPr>
                  <w:r>
                    <w:t xml:space="preserve">18.2%</w:t>
                  </w:r>
                </w:p>
              </w:tc>
            </w:tr>
            <w:tr>
              <w:tc>
                <w:tcPr/>
                <w:p>
                  <w:pPr>
                    <w:pStyle w:val="Compact"/>
                    <w:jc w:val="center"/>
                    <w:jc w:val="center"/>
                  </w:pPr>
                  <w:r>
                    <w:t xml:space="preserve">5°</w:t>
                  </w:r>
                </w:p>
              </w:tc>
              <w:tc>
                <w:tcPr/>
                <w:p>
                  <w:pPr>
                    <w:pStyle w:val="Compact"/>
                    <w:jc w:val="center"/>
                    <w:jc w:val="center"/>
                  </w:pPr>
                  <w:r>
                    <w:t xml:space="preserve">SBKP</w:t>
                  </w:r>
                </w:p>
              </w:tc>
              <w:tc>
                <w:tcPr/>
                <w:p>
                  <w:pPr>
                    <w:pStyle w:val="Compact"/>
                    <w:jc w:val="center"/>
                    <w:jc w:val="center"/>
                  </w:pPr>
                  <w:r>
                    <w:t xml:space="preserve">Campinas</w:t>
                  </w:r>
                </w:p>
              </w:tc>
              <w:tc>
                <w:tcPr/>
                <w:p>
                  <w:pPr>
                    <w:pStyle w:val="Compact"/>
                    <w:jc w:val="center"/>
                    <w:jc w:val="center"/>
                  </w:pPr>
                  <w:r>
                    <w:t xml:space="preserve">122286</w:t>
                  </w:r>
                </w:p>
              </w:tc>
              <w:tc>
                <w:tcPr/>
                <w:p>
                  <w:pPr>
                    <w:pStyle w:val="Compact"/>
                    <w:jc w:val="center"/>
                    <w:jc w:val="center"/>
                  </w:pPr>
                  <w:r>
                    <w:t xml:space="preserve">124788</w:t>
                  </w:r>
                </w:p>
              </w:tc>
              <w:tc>
                <w:tcPr/>
                <w:p>
                  <w:pPr>
                    <w:pStyle w:val="Compact"/>
                    <w:jc w:val="center"/>
                    <w:jc w:val="center"/>
                  </w:pPr>
                  <w:r>
                    <w:t xml:space="preserve">2502</w:t>
                  </w:r>
                </w:p>
              </w:tc>
              <w:tc>
                <w:tcPr/>
                <w:p>
                  <w:pPr>
                    <w:pStyle w:val="Compact"/>
                    <w:jc w:val="center"/>
                    <w:jc w:val="center"/>
                  </w:pPr>
                  <w:r>
                    <w:t xml:space="preserve">2%</w:t>
                  </w:r>
                </w:p>
              </w:tc>
            </w:tr>
            <w:tr>
              <w:tc>
                <w:tcPr/>
                <w:p>
                  <w:pPr>
                    <w:pStyle w:val="Compact"/>
                    <w:jc w:val="center"/>
                    <w:jc w:val="center"/>
                  </w:pPr>
                  <w:r>
                    <w:t xml:space="preserve">6°</w:t>
                  </w:r>
                </w:p>
              </w:tc>
              <w:tc>
                <w:tcPr/>
                <w:p>
                  <w:pPr>
                    <w:pStyle w:val="Compact"/>
                    <w:jc w:val="center"/>
                    <w:jc w:val="center"/>
                  </w:pPr>
                  <w:r>
                    <w:t xml:space="preserve">SBCF</w:t>
                  </w:r>
                </w:p>
              </w:tc>
              <w:tc>
                <w:tcPr/>
                <w:p>
                  <w:pPr>
                    <w:pStyle w:val="Compact"/>
                    <w:jc w:val="center"/>
                    <w:jc w:val="center"/>
                  </w:pPr>
                  <w:r>
                    <w:t xml:space="preserve">Confins</w:t>
                  </w:r>
                </w:p>
              </w:tc>
              <w:tc>
                <w:tcPr/>
                <w:p>
                  <w:pPr>
                    <w:pStyle w:val="Compact"/>
                    <w:jc w:val="center"/>
                    <w:jc w:val="center"/>
                  </w:pPr>
                  <w:r>
                    <w:t xml:space="preserve">114177</w:t>
                  </w:r>
                </w:p>
              </w:tc>
              <w:tc>
                <w:tcPr/>
                <w:p>
                  <w:pPr>
                    <w:pStyle w:val="Compact"/>
                    <w:jc w:val="center"/>
                    <w:jc w:val="center"/>
                  </w:pPr>
                  <w:r>
                    <w:t xml:space="preserve">118272</w:t>
                  </w:r>
                </w:p>
              </w:tc>
              <w:tc>
                <w:tcPr/>
                <w:p>
                  <w:pPr>
                    <w:pStyle w:val="Compact"/>
                    <w:jc w:val="center"/>
                    <w:jc w:val="center"/>
                  </w:pPr>
                  <w:r>
                    <w:t xml:space="preserve">4095</w:t>
                  </w:r>
                </w:p>
              </w:tc>
              <w:tc>
                <w:tcPr/>
                <w:p>
                  <w:pPr>
                    <w:pStyle w:val="Compact"/>
                    <w:jc w:val="center"/>
                    <w:jc w:val="center"/>
                  </w:pPr>
                  <w:r>
                    <w:t xml:space="preserve">3.6%</w:t>
                  </w:r>
                </w:p>
              </w:tc>
            </w:tr>
            <w:tr>
              <w:tc>
                <w:tcPr/>
                <w:p>
                  <w:pPr>
                    <w:pStyle w:val="Compact"/>
                    <w:jc w:val="center"/>
                    <w:jc w:val="center"/>
                  </w:pPr>
                  <w:r>
                    <w:t xml:space="preserve">7°</w:t>
                  </w:r>
                </w:p>
              </w:tc>
              <w:tc>
                <w:tcPr/>
                <w:p>
                  <w:pPr>
                    <w:pStyle w:val="Compact"/>
                    <w:jc w:val="center"/>
                    <w:jc w:val="center"/>
                  </w:pPr>
                  <w:r>
                    <w:t xml:space="preserve">SBJR</w:t>
                  </w:r>
                </w:p>
              </w:tc>
              <w:tc>
                <w:tcPr/>
                <w:p>
                  <w:pPr>
                    <w:pStyle w:val="Compact"/>
                    <w:jc w:val="center"/>
                    <w:jc w:val="center"/>
                  </w:pPr>
                  <w:r>
                    <w:t xml:space="preserve">Jacarepaguá</w:t>
                  </w:r>
                </w:p>
              </w:tc>
              <w:tc>
                <w:tcPr/>
                <w:p>
                  <w:pPr>
                    <w:pStyle w:val="Compact"/>
                    <w:jc w:val="center"/>
                    <w:jc w:val="center"/>
                  </w:pPr>
                  <w:r>
                    <w:t xml:space="preserve">82398</w:t>
                  </w:r>
                </w:p>
              </w:tc>
              <w:tc>
                <w:tcPr/>
                <w:p>
                  <w:pPr>
                    <w:pStyle w:val="Compact"/>
                    <w:jc w:val="center"/>
                    <w:jc w:val="center"/>
                  </w:pPr>
                  <w:r>
                    <w:t xml:space="preserve">106318</w:t>
                  </w:r>
                </w:p>
              </w:tc>
              <w:tc>
                <w:tcPr/>
                <w:p>
                  <w:pPr>
                    <w:pStyle w:val="Compact"/>
                    <w:jc w:val="center"/>
                    <w:jc w:val="center"/>
                  </w:pPr>
                  <w:r>
                    <w:t xml:space="preserve">23920</w:t>
                  </w:r>
                </w:p>
              </w:tc>
              <w:tc>
                <w:tcPr/>
                <w:p>
                  <w:pPr>
                    <w:pStyle w:val="Compact"/>
                    <w:jc w:val="center"/>
                    <w:jc w:val="center"/>
                  </w:pPr>
                  <w:r>
                    <w:t xml:space="preserve">29%</w:t>
                  </w:r>
                </w:p>
              </w:tc>
            </w:tr>
            <w:tr>
              <w:tc>
                <w:tcPr/>
                <w:p>
                  <w:pPr>
                    <w:pStyle w:val="Compact"/>
                    <w:jc w:val="center"/>
                    <w:jc w:val="center"/>
                  </w:pPr>
                  <w:r>
                    <w:t xml:space="preserve">8°</w:t>
                  </w:r>
                </w:p>
              </w:tc>
              <w:tc>
                <w:tcPr/>
                <w:p>
                  <w:pPr>
                    <w:pStyle w:val="Compact"/>
                    <w:jc w:val="center"/>
                    <w:jc w:val="center"/>
                  </w:pPr>
                  <w:r>
                    <w:t xml:space="preserve">SBRF</w:t>
                  </w:r>
                </w:p>
              </w:tc>
              <w:tc>
                <w:tcPr/>
                <w:p>
                  <w:pPr>
                    <w:pStyle w:val="Compact"/>
                    <w:jc w:val="center"/>
                    <w:jc w:val="center"/>
                  </w:pPr>
                  <w:r>
                    <w:t xml:space="preserve">Recife</w:t>
                  </w:r>
                </w:p>
              </w:tc>
              <w:tc>
                <w:tcPr/>
                <w:p>
                  <w:pPr>
                    <w:pStyle w:val="Compact"/>
                    <w:jc w:val="center"/>
                    <w:jc w:val="center"/>
                  </w:pPr>
                  <w:r>
                    <w:t xml:space="preserve">92839</w:t>
                  </w:r>
                </w:p>
              </w:tc>
              <w:tc>
                <w:tcPr/>
                <w:p>
                  <w:pPr>
                    <w:pStyle w:val="Compact"/>
                    <w:jc w:val="center"/>
                    <w:jc w:val="center"/>
                  </w:pPr>
                  <w:r>
                    <w:t xml:space="preserve">84865</w:t>
                  </w:r>
                </w:p>
              </w:tc>
              <w:tc>
                <w:tcPr/>
                <w:p>
                  <w:pPr>
                    <w:pStyle w:val="Compact"/>
                    <w:jc w:val="center"/>
                    <w:jc w:val="center"/>
                  </w:pPr>
                  <w:r>
                    <w:t xml:space="preserve">-7974</w:t>
                  </w:r>
                </w:p>
              </w:tc>
              <w:tc>
                <w:tcPr/>
                <w:p>
                  <w:pPr>
                    <w:pStyle w:val="Compact"/>
                    <w:jc w:val="center"/>
                    <w:jc w:val="center"/>
                  </w:pPr>
                  <w:r>
                    <w:t xml:space="preserve">-8.6%</w:t>
                  </w:r>
                </w:p>
              </w:tc>
            </w:tr>
            <w:tr>
              <w:tc>
                <w:tcPr/>
                <w:p>
                  <w:pPr>
                    <w:pStyle w:val="Compact"/>
                    <w:jc w:val="center"/>
                    <w:jc w:val="center"/>
                  </w:pPr>
                  <w:r>
                    <w:t xml:space="preserve">9°</w:t>
                  </w:r>
                </w:p>
              </w:tc>
              <w:tc>
                <w:tcPr/>
                <w:p>
                  <w:pPr>
                    <w:pStyle w:val="Compact"/>
                    <w:jc w:val="center"/>
                    <w:jc w:val="center"/>
                  </w:pPr>
                  <w:r>
                    <w:t xml:space="preserve">SBSV</w:t>
                  </w:r>
                </w:p>
              </w:tc>
              <w:tc>
                <w:tcPr/>
                <w:p>
                  <w:pPr>
                    <w:pStyle w:val="Compact"/>
                    <w:jc w:val="center"/>
                    <w:jc w:val="center"/>
                  </w:pPr>
                  <w:r>
                    <w:t xml:space="preserve">Salvador</w:t>
                  </w:r>
                </w:p>
              </w:tc>
              <w:tc>
                <w:tcPr/>
                <w:p>
                  <w:pPr>
                    <w:pStyle w:val="Compact"/>
                    <w:jc w:val="center"/>
                    <w:jc w:val="center"/>
                  </w:pPr>
                  <w:r>
                    <w:t xml:space="preserve">80053</w:t>
                  </w:r>
                </w:p>
              </w:tc>
              <w:tc>
                <w:tcPr/>
                <w:p>
                  <w:pPr>
                    <w:pStyle w:val="Compact"/>
                    <w:jc w:val="center"/>
                    <w:jc w:val="center"/>
                  </w:pPr>
                  <w:r>
                    <w:t xml:space="preserve">83064</w:t>
                  </w:r>
                </w:p>
              </w:tc>
              <w:tc>
                <w:tcPr/>
                <w:p>
                  <w:pPr>
                    <w:pStyle w:val="Compact"/>
                    <w:jc w:val="center"/>
                    <w:jc w:val="center"/>
                  </w:pPr>
                  <w:r>
                    <w:t xml:space="preserve">3011</w:t>
                  </w:r>
                </w:p>
              </w:tc>
              <w:tc>
                <w:tcPr/>
                <w:p>
                  <w:pPr>
                    <w:pStyle w:val="Compact"/>
                    <w:jc w:val="center"/>
                    <w:jc w:val="center"/>
                  </w:pPr>
                  <w:r>
                    <w:t xml:space="preserve">3.8%</w:t>
                  </w:r>
                </w:p>
              </w:tc>
            </w:tr>
            <w:tr>
              <w:tc>
                <w:tcPr/>
                <w:p>
                  <w:pPr>
                    <w:pStyle w:val="Compact"/>
                    <w:jc w:val="center"/>
                    <w:jc w:val="center"/>
                  </w:pPr>
                  <w:r>
                    <w:t xml:space="preserve">10°</w:t>
                  </w:r>
                </w:p>
              </w:tc>
              <w:tc>
                <w:tcPr/>
                <w:p>
                  <w:pPr>
                    <w:pStyle w:val="Compact"/>
                    <w:jc w:val="center"/>
                    <w:jc w:val="center"/>
                  </w:pPr>
                  <w:r>
                    <w:t xml:space="preserve">SBRJ</w:t>
                  </w:r>
                </w:p>
              </w:tc>
              <w:tc>
                <w:tcPr/>
                <w:p>
                  <w:pPr>
                    <w:pStyle w:val="Compact"/>
                    <w:jc w:val="center"/>
                    <w:jc w:val="center"/>
                  </w:pPr>
                  <w:r>
                    <w:t xml:space="preserve">Santos Dumont</w:t>
                  </w:r>
                </w:p>
              </w:tc>
              <w:tc>
                <w:tcPr/>
                <w:p>
                  <w:pPr>
                    <w:pStyle w:val="Compact"/>
                    <w:jc w:val="center"/>
                    <w:jc w:val="center"/>
                  </w:pPr>
                  <w:r>
                    <w:t xml:space="preserve">73687</w:t>
                  </w:r>
                </w:p>
              </w:tc>
              <w:tc>
                <w:tcPr/>
                <w:p>
                  <w:pPr>
                    <w:pStyle w:val="Compact"/>
                    <w:jc w:val="center"/>
                    <w:jc w:val="center"/>
                  </w:pPr>
                  <w:r>
                    <w:t xml:space="preserve">74296</w:t>
                  </w:r>
                </w:p>
              </w:tc>
              <w:tc>
                <w:tcPr/>
                <w:p>
                  <w:pPr>
                    <w:pStyle w:val="Compact"/>
                    <w:jc w:val="center"/>
                    <w:jc w:val="center"/>
                  </w:pPr>
                  <w:r>
                    <w:t xml:space="preserve">609</w:t>
                  </w:r>
                </w:p>
              </w:tc>
              <w:tc>
                <w:tcPr/>
                <w:p>
                  <w:pPr>
                    <w:pStyle w:val="Compact"/>
                    <w:jc w:val="center"/>
                    <w:jc w:val="center"/>
                  </w:pPr>
                  <w:r>
                    <w:t xml:space="preserve">0.8%</w:t>
                  </w:r>
                </w:p>
              </w:tc>
            </w:tr>
            <w:tr>
              <w:tc>
                <w:tcPr/>
                <w:p>
                  <w:pPr>
                    <w:pStyle w:val="Compact"/>
                    <w:jc w:val="center"/>
                    <w:jc w:val="center"/>
                  </w:pPr>
                  <w:r>
                    <w:t xml:space="preserve">11°</w:t>
                  </w:r>
                </w:p>
              </w:tc>
              <w:tc>
                <w:tcPr/>
                <w:p>
                  <w:pPr>
                    <w:pStyle w:val="Compact"/>
                    <w:jc w:val="center"/>
                    <w:jc w:val="center"/>
                  </w:pPr>
                  <w:r>
                    <w:t xml:space="preserve">SBPA</w:t>
                  </w:r>
                </w:p>
              </w:tc>
              <w:tc>
                <w:tcPr/>
                <w:p>
                  <w:pPr>
                    <w:pStyle w:val="Compact"/>
                    <w:jc w:val="center"/>
                    <w:jc w:val="center"/>
                  </w:pPr>
                  <w:r>
                    <w:t xml:space="preserve">Porto Alegre</w:t>
                  </w:r>
                </w:p>
              </w:tc>
              <w:tc>
                <w:tcPr/>
                <w:p>
                  <w:pPr>
                    <w:pStyle w:val="Compact"/>
                    <w:jc w:val="center"/>
                    <w:jc w:val="center"/>
                  </w:pPr>
                  <w:r>
                    <w:t xml:space="preserve">32383</w:t>
                  </w:r>
                </w:p>
              </w:tc>
              <w:tc>
                <w:tcPr/>
                <w:p>
                  <w:pPr>
                    <w:pStyle w:val="Compact"/>
                    <w:jc w:val="center"/>
                    <w:jc w:val="center"/>
                  </w:pPr>
                  <w:r>
                    <w:t xml:space="preserve">67365</w:t>
                  </w:r>
                </w:p>
              </w:tc>
              <w:tc>
                <w:tcPr/>
                <w:p>
                  <w:pPr>
                    <w:pStyle w:val="Compact"/>
                    <w:jc w:val="center"/>
                    <w:jc w:val="center"/>
                  </w:pPr>
                  <w:r>
                    <w:t xml:space="preserve">34982</w:t>
                  </w:r>
                </w:p>
              </w:tc>
              <w:tc>
                <w:tcPr/>
                <w:p>
                  <w:pPr>
                    <w:pStyle w:val="Compact"/>
                    <w:jc w:val="center"/>
                    <w:jc w:val="center"/>
                  </w:pPr>
                  <w:r>
                    <w:t xml:space="preserve">108%</w:t>
                  </w:r>
                </w:p>
              </w:tc>
            </w:tr>
            <w:tr>
              <w:tc>
                <w:tcPr/>
                <w:p>
                  <w:pPr>
                    <w:pStyle w:val="Compact"/>
                    <w:jc w:val="center"/>
                    <w:jc w:val="center"/>
                  </w:pPr>
                  <w:r>
                    <w:t xml:space="preserve">12°</w:t>
                  </w:r>
                </w:p>
              </w:tc>
              <w:tc>
                <w:tcPr/>
                <w:p>
                  <w:pPr>
                    <w:pStyle w:val="Compact"/>
                    <w:jc w:val="center"/>
                    <w:jc w:val="center"/>
                  </w:pPr>
                  <w:r>
                    <w:t xml:space="preserve">SBMT</w:t>
                  </w:r>
                </w:p>
              </w:tc>
              <w:tc>
                <w:tcPr/>
                <w:p>
                  <w:pPr>
                    <w:pStyle w:val="Compact"/>
                    <w:jc w:val="center"/>
                    <w:jc w:val="center"/>
                  </w:pPr>
                  <w:r>
                    <w:t xml:space="preserve">Campo de Marte</w:t>
                  </w:r>
                </w:p>
              </w:tc>
              <w:tc>
                <w:tcPr/>
                <w:p>
                  <w:pPr>
                    <w:pStyle w:val="Compact"/>
                    <w:jc w:val="center"/>
                    <w:jc w:val="center"/>
                  </w:pPr>
                  <w:r>
                    <w:t xml:space="preserve">58232</w:t>
                  </w:r>
                </w:p>
              </w:tc>
              <w:tc>
                <w:tcPr/>
                <w:p>
                  <w:pPr>
                    <w:pStyle w:val="Compact"/>
                    <w:jc w:val="center"/>
                    <w:jc w:val="center"/>
                  </w:pPr>
                  <w:r>
                    <w:t xml:space="preserve">66781</w:t>
                  </w:r>
                </w:p>
              </w:tc>
              <w:tc>
                <w:tcPr/>
                <w:p>
                  <w:pPr>
                    <w:pStyle w:val="Compact"/>
                    <w:jc w:val="center"/>
                    <w:jc w:val="center"/>
                  </w:pPr>
                  <w:r>
                    <w:t xml:space="preserve">8549</w:t>
                  </w:r>
                </w:p>
              </w:tc>
              <w:tc>
                <w:tcPr/>
                <w:p>
                  <w:pPr>
                    <w:pStyle w:val="Compact"/>
                    <w:jc w:val="center"/>
                    <w:jc w:val="center"/>
                  </w:pPr>
                  <w:r>
                    <w:t xml:space="preserve">14.7%</w:t>
                  </w:r>
                </w:p>
              </w:tc>
            </w:tr>
            <w:tr>
              <w:tc>
                <w:tcPr/>
                <w:p>
                  <w:pPr>
                    <w:pStyle w:val="Compact"/>
                    <w:jc w:val="center"/>
                    <w:jc w:val="center"/>
                  </w:pPr>
                  <w:r>
                    <w:t xml:space="preserve">13°</w:t>
                  </w:r>
                </w:p>
              </w:tc>
              <w:tc>
                <w:tcPr/>
                <w:p>
                  <w:pPr>
                    <w:pStyle w:val="Compact"/>
                    <w:jc w:val="center"/>
                    <w:jc w:val="center"/>
                  </w:pPr>
                  <w:r>
                    <w:t xml:space="preserve">SBCT</w:t>
                  </w:r>
                </w:p>
              </w:tc>
              <w:tc>
                <w:tcPr/>
                <w:p>
                  <w:pPr>
                    <w:pStyle w:val="Compact"/>
                    <w:jc w:val="center"/>
                    <w:jc w:val="center"/>
                  </w:pPr>
                  <w:r>
                    <w:t xml:space="preserve">Curitiba</w:t>
                  </w:r>
                </w:p>
              </w:tc>
              <w:tc>
                <w:tcPr/>
                <w:p>
                  <w:pPr>
                    <w:pStyle w:val="Compact"/>
                    <w:jc w:val="center"/>
                    <w:jc w:val="center"/>
                  </w:pPr>
                  <w:r>
                    <w:t xml:space="preserve">60809</w:t>
                  </w:r>
                </w:p>
              </w:tc>
              <w:tc>
                <w:tcPr/>
                <w:p>
                  <w:pPr>
                    <w:pStyle w:val="Compact"/>
                    <w:jc w:val="center"/>
                    <w:jc w:val="center"/>
                  </w:pPr>
                  <w:r>
                    <w:t xml:space="preserve">62413</w:t>
                  </w:r>
                </w:p>
              </w:tc>
              <w:tc>
                <w:tcPr/>
                <w:p>
                  <w:pPr>
                    <w:pStyle w:val="Compact"/>
                    <w:jc w:val="center"/>
                    <w:jc w:val="center"/>
                  </w:pPr>
                  <w:r>
                    <w:t xml:space="preserve">1604</w:t>
                  </w:r>
                </w:p>
              </w:tc>
              <w:tc>
                <w:tcPr/>
                <w:p>
                  <w:pPr>
                    <w:pStyle w:val="Compact"/>
                    <w:jc w:val="center"/>
                    <w:jc w:val="center"/>
                  </w:pPr>
                  <w:r>
                    <w:t xml:space="preserve">2.6%</w:t>
                  </w:r>
                </w:p>
              </w:tc>
            </w:tr>
            <w:tr>
              <w:tc>
                <w:tcPr/>
                <w:p>
                  <w:pPr>
                    <w:pStyle w:val="Compact"/>
                    <w:jc w:val="center"/>
                    <w:jc w:val="center"/>
                  </w:pPr>
                  <w:r>
                    <w:t xml:space="preserve">14°</w:t>
                  </w:r>
                </w:p>
              </w:tc>
              <w:tc>
                <w:tcPr/>
                <w:p>
                  <w:pPr>
                    <w:pStyle w:val="Compact"/>
                    <w:jc w:val="center"/>
                    <w:jc w:val="center"/>
                  </w:pPr>
                  <w:r>
                    <w:t xml:space="preserve">SBBH</w:t>
                  </w:r>
                </w:p>
              </w:tc>
              <w:tc>
                <w:tcPr/>
                <w:p>
                  <w:pPr>
                    <w:pStyle w:val="Compact"/>
                    <w:jc w:val="center"/>
                    <w:jc w:val="center"/>
                  </w:pPr>
                  <w:r>
                    <w:t xml:space="preserve">Pampulha</w:t>
                  </w:r>
                </w:p>
              </w:tc>
              <w:tc>
                <w:tcPr/>
                <w:p>
                  <w:pPr>
                    <w:pStyle w:val="Compact"/>
                    <w:jc w:val="center"/>
                    <w:jc w:val="center"/>
                  </w:pPr>
                  <w:r>
                    <w:t xml:space="preserve">55954</w:t>
                  </w:r>
                </w:p>
              </w:tc>
              <w:tc>
                <w:tcPr/>
                <w:p>
                  <w:pPr>
                    <w:pStyle w:val="Compact"/>
                    <w:jc w:val="center"/>
                    <w:jc w:val="center"/>
                  </w:pPr>
                  <w:r>
                    <w:t xml:space="preserve">62080</w:t>
                  </w:r>
                </w:p>
              </w:tc>
              <w:tc>
                <w:tcPr/>
                <w:p>
                  <w:pPr>
                    <w:pStyle w:val="Compact"/>
                    <w:jc w:val="center"/>
                    <w:jc w:val="center"/>
                  </w:pPr>
                  <w:r>
                    <w:t xml:space="preserve">6126</w:t>
                  </w:r>
                </w:p>
              </w:tc>
              <w:tc>
                <w:tcPr/>
                <w:p>
                  <w:pPr>
                    <w:pStyle w:val="Compact"/>
                    <w:jc w:val="center"/>
                    <w:jc w:val="center"/>
                  </w:pPr>
                  <w:r>
                    <w:t xml:space="preserve">10.9%</w:t>
                  </w:r>
                </w:p>
              </w:tc>
            </w:tr>
            <w:tr>
              <w:tc>
                <w:tcPr/>
                <w:p>
                  <w:pPr>
                    <w:pStyle w:val="Compact"/>
                    <w:jc w:val="center"/>
                    <w:jc w:val="center"/>
                  </w:pPr>
                  <w:r>
                    <w:t xml:space="preserve">15°</w:t>
                  </w:r>
                </w:p>
              </w:tc>
              <w:tc>
                <w:tcPr/>
                <w:p>
                  <w:pPr>
                    <w:pStyle w:val="Compact"/>
                    <w:jc w:val="center"/>
                    <w:jc w:val="center"/>
                  </w:pPr>
                  <w:r>
                    <w:t xml:space="preserve">SBGO</w:t>
                  </w:r>
                </w:p>
              </w:tc>
              <w:tc>
                <w:tcPr/>
                <w:p>
                  <w:pPr>
                    <w:pStyle w:val="Compact"/>
                    <w:jc w:val="center"/>
                    <w:jc w:val="center"/>
                  </w:pPr>
                  <w:r>
                    <w:t xml:space="preserve">Goiânia</w:t>
                  </w:r>
                </w:p>
              </w:tc>
              <w:tc>
                <w:tcPr/>
                <w:p>
                  <w:pPr>
                    <w:pStyle w:val="Compact"/>
                    <w:jc w:val="center"/>
                    <w:jc w:val="center"/>
                  </w:pPr>
                  <w:r>
                    <w:t xml:space="preserve">56559</w:t>
                  </w:r>
                </w:p>
              </w:tc>
              <w:tc>
                <w:tcPr/>
                <w:p>
                  <w:pPr>
                    <w:pStyle w:val="Compact"/>
                    <w:jc w:val="center"/>
                    <w:jc w:val="center"/>
                  </w:pPr>
                  <w:r>
                    <w:t xml:space="preserve">57685</w:t>
                  </w:r>
                </w:p>
              </w:tc>
              <w:tc>
                <w:tcPr/>
                <w:p>
                  <w:pPr>
                    <w:pStyle w:val="Compact"/>
                    <w:jc w:val="center"/>
                    <w:jc w:val="center"/>
                  </w:pPr>
                  <w:r>
                    <w:t xml:space="preserve">1126</w:t>
                  </w:r>
                </w:p>
              </w:tc>
              <w:tc>
                <w:tcPr/>
                <w:p>
                  <w:pPr>
                    <w:pStyle w:val="Compact"/>
                    <w:jc w:val="center"/>
                    <w:jc w:val="center"/>
                  </w:pPr>
                  <w:r>
                    <w:t xml:space="preserve">2%</w:t>
                  </w:r>
                </w:p>
              </w:tc>
            </w:tr>
            <w:tr>
              <w:tc>
                <w:tcPr/>
                <w:p>
                  <w:pPr>
                    <w:pStyle w:val="Compact"/>
                    <w:jc w:val="center"/>
                    <w:jc w:val="center"/>
                  </w:pPr>
                  <w:r>
                    <w:t xml:space="preserve">16°</w:t>
                  </w:r>
                </w:p>
              </w:tc>
              <w:tc>
                <w:tcPr/>
                <w:p>
                  <w:pPr>
                    <w:pStyle w:val="Compact"/>
                    <w:jc w:val="center"/>
                    <w:jc w:val="center"/>
                  </w:pPr>
                  <w:r>
                    <w:t xml:space="preserve">SBBE</w:t>
                  </w:r>
                </w:p>
              </w:tc>
              <w:tc>
                <w:tcPr/>
                <w:p>
                  <w:pPr>
                    <w:pStyle w:val="Compact"/>
                    <w:jc w:val="center"/>
                    <w:jc w:val="center"/>
                  </w:pPr>
                  <w:r>
                    <w:t xml:space="preserve">Belém</w:t>
                  </w:r>
                </w:p>
              </w:tc>
              <w:tc>
                <w:tcPr/>
                <w:p>
                  <w:pPr>
                    <w:pStyle w:val="Compact"/>
                    <w:jc w:val="center"/>
                    <w:jc w:val="center"/>
                  </w:pPr>
                  <w:r>
                    <w:t xml:space="preserve">57863</w:t>
                  </w:r>
                </w:p>
              </w:tc>
              <w:tc>
                <w:tcPr/>
                <w:p>
                  <w:pPr>
                    <w:pStyle w:val="Compact"/>
                    <w:jc w:val="center"/>
                    <w:jc w:val="center"/>
                  </w:pPr>
                  <w:r>
                    <w:t xml:space="preserve">56601</w:t>
                  </w:r>
                </w:p>
              </w:tc>
              <w:tc>
                <w:tcPr/>
                <w:p>
                  <w:pPr>
                    <w:pStyle w:val="Compact"/>
                    <w:jc w:val="center"/>
                    <w:jc w:val="center"/>
                  </w:pPr>
                  <w:r>
                    <w:t xml:space="preserve">-1262</w:t>
                  </w:r>
                </w:p>
              </w:tc>
              <w:tc>
                <w:tcPr/>
                <w:p>
                  <w:pPr>
                    <w:pStyle w:val="Compact"/>
                    <w:jc w:val="center"/>
                    <w:jc w:val="center"/>
                  </w:pPr>
                  <w:r>
                    <w:t xml:space="preserve">-2.2%</w:t>
                  </w:r>
                </w:p>
              </w:tc>
            </w:tr>
            <w:tr>
              <w:tc>
                <w:tcPr/>
                <w:p>
                  <w:pPr>
                    <w:pStyle w:val="Compact"/>
                    <w:jc w:val="center"/>
                    <w:jc w:val="center"/>
                  </w:pPr>
                  <w:r>
                    <w:t xml:space="preserve">17°</w:t>
                  </w:r>
                </w:p>
              </w:tc>
              <w:tc>
                <w:tcPr/>
                <w:p>
                  <w:pPr>
                    <w:pStyle w:val="Compact"/>
                    <w:jc w:val="center"/>
                    <w:jc w:val="center"/>
                  </w:pPr>
                  <w:r>
                    <w:t xml:space="preserve">SBFZ</w:t>
                  </w:r>
                </w:p>
              </w:tc>
              <w:tc>
                <w:tcPr/>
                <w:p>
                  <w:pPr>
                    <w:pStyle w:val="Compact"/>
                    <w:jc w:val="center"/>
                    <w:jc w:val="center"/>
                  </w:pPr>
                  <w:r>
                    <w:t xml:space="preserve">Fortaleza</w:t>
                  </w:r>
                </w:p>
              </w:tc>
              <w:tc>
                <w:tcPr/>
                <w:p>
                  <w:pPr>
                    <w:pStyle w:val="Compact"/>
                    <w:jc w:val="center"/>
                    <w:jc w:val="center"/>
                  </w:pPr>
                  <w:r>
                    <w:t xml:space="preserve">54022</w:t>
                  </w:r>
                </w:p>
              </w:tc>
              <w:tc>
                <w:tcPr/>
                <w:p>
                  <w:pPr>
                    <w:pStyle w:val="Compact"/>
                    <w:jc w:val="center"/>
                    <w:jc w:val="center"/>
                  </w:pPr>
                  <w:r>
                    <w:t xml:space="preserve">55234</w:t>
                  </w:r>
                </w:p>
              </w:tc>
              <w:tc>
                <w:tcPr/>
                <w:p>
                  <w:pPr>
                    <w:pStyle w:val="Compact"/>
                    <w:jc w:val="center"/>
                    <w:jc w:val="center"/>
                  </w:pPr>
                  <w:r>
                    <w:t xml:space="preserve">1212</w:t>
                  </w:r>
                </w:p>
              </w:tc>
              <w:tc>
                <w:tcPr/>
                <w:p>
                  <w:pPr>
                    <w:pStyle w:val="Compact"/>
                    <w:jc w:val="center"/>
                    <w:jc w:val="center"/>
                  </w:pPr>
                  <w:r>
                    <w:t xml:space="preserve">2.2%</w:t>
                  </w:r>
                </w:p>
              </w:tc>
            </w:tr>
            <w:tr>
              <w:tc>
                <w:tcPr/>
                <w:p>
                  <w:pPr>
                    <w:pStyle w:val="Compact"/>
                    <w:jc w:val="center"/>
                    <w:jc w:val="center"/>
                  </w:pPr>
                  <w:r>
                    <w:t xml:space="preserve">18°</w:t>
                  </w:r>
                </w:p>
              </w:tc>
              <w:tc>
                <w:tcPr/>
                <w:p>
                  <w:pPr>
                    <w:pStyle w:val="Compact"/>
                    <w:jc w:val="center"/>
                    <w:jc w:val="center"/>
                  </w:pPr>
                  <w:r>
                    <w:t xml:space="preserve">SBFL</w:t>
                  </w:r>
                </w:p>
              </w:tc>
              <w:tc>
                <w:tcPr/>
                <w:p>
                  <w:pPr>
                    <w:pStyle w:val="Compact"/>
                    <w:jc w:val="center"/>
                    <w:jc w:val="center"/>
                  </w:pPr>
                  <w:r>
                    <w:t xml:space="preserve">Florianópolis</w:t>
                  </w:r>
                </w:p>
              </w:tc>
              <w:tc>
                <w:tcPr/>
                <w:p>
                  <w:pPr>
                    <w:pStyle w:val="Compact"/>
                    <w:jc w:val="center"/>
                    <w:jc w:val="center"/>
                  </w:pPr>
                  <w:r>
                    <w:t xml:space="preserve">50510</w:t>
                  </w:r>
                </w:p>
              </w:tc>
              <w:tc>
                <w:tcPr/>
                <w:p>
                  <w:pPr>
                    <w:pStyle w:val="Compact"/>
                    <w:jc w:val="center"/>
                    <w:jc w:val="center"/>
                  </w:pPr>
                  <w:r>
                    <w:t xml:space="preserve">51180</w:t>
                  </w:r>
                </w:p>
              </w:tc>
              <w:tc>
                <w:tcPr/>
                <w:p>
                  <w:pPr>
                    <w:pStyle w:val="Compact"/>
                    <w:jc w:val="center"/>
                    <w:jc w:val="center"/>
                  </w:pPr>
                  <w:r>
                    <w:t xml:space="preserve">670</w:t>
                  </w:r>
                </w:p>
              </w:tc>
              <w:tc>
                <w:tcPr/>
                <w:p>
                  <w:pPr>
                    <w:pStyle w:val="Compact"/>
                    <w:jc w:val="center"/>
                    <w:jc w:val="center"/>
                  </w:pPr>
                  <w:r>
                    <w:t xml:space="preserve">1.3%</w:t>
                  </w:r>
                </w:p>
              </w:tc>
            </w:tr>
            <w:tr>
              <w:tc>
                <w:tcPr/>
                <w:p>
                  <w:pPr>
                    <w:pStyle w:val="Compact"/>
                    <w:jc w:val="center"/>
                    <w:jc w:val="center"/>
                  </w:pPr>
                  <w:r>
                    <w:t xml:space="preserve">19°</w:t>
                  </w:r>
                </w:p>
              </w:tc>
              <w:tc>
                <w:tcPr/>
                <w:p>
                  <w:pPr>
                    <w:pStyle w:val="Compact"/>
                    <w:jc w:val="center"/>
                    <w:jc w:val="center"/>
                  </w:pPr>
                  <w:r>
                    <w:t xml:space="preserve">SBJD</w:t>
                  </w:r>
                </w:p>
              </w:tc>
              <w:tc>
                <w:tcPr/>
                <w:p>
                  <w:pPr>
                    <w:pStyle w:val="Compact"/>
                    <w:jc w:val="center"/>
                    <w:jc w:val="center"/>
                  </w:pPr>
                  <w:r>
                    <w:t xml:space="preserve">Jundiaí</w:t>
                  </w:r>
                </w:p>
              </w:tc>
              <w:tc>
                <w:tcPr/>
                <w:p>
                  <w:pPr>
                    <w:pStyle w:val="Compact"/>
                    <w:jc w:val="center"/>
                    <w:jc w:val="center"/>
                  </w:pPr>
                  <w:r>
                    <w:t xml:space="preserve">39626</w:t>
                  </w:r>
                </w:p>
              </w:tc>
              <w:tc>
                <w:tcPr/>
                <w:p>
                  <w:pPr>
                    <w:pStyle w:val="Compact"/>
                    <w:jc w:val="center"/>
                    <w:jc w:val="center"/>
                  </w:pPr>
                  <w:r>
                    <w:t xml:space="preserve">49301</w:t>
                  </w:r>
                </w:p>
              </w:tc>
              <w:tc>
                <w:tcPr/>
                <w:p>
                  <w:pPr>
                    <w:pStyle w:val="Compact"/>
                    <w:jc w:val="center"/>
                    <w:jc w:val="center"/>
                  </w:pPr>
                  <w:r>
                    <w:t xml:space="preserve">9675</w:t>
                  </w:r>
                </w:p>
              </w:tc>
              <w:tc>
                <w:tcPr/>
                <w:p>
                  <w:pPr>
                    <w:pStyle w:val="Compact"/>
                    <w:jc w:val="center"/>
                    <w:jc w:val="center"/>
                  </w:pPr>
                  <w:r>
                    <w:t xml:space="preserve">24.4%</w:t>
                  </w:r>
                </w:p>
              </w:tc>
            </w:tr>
            <w:tr>
              <w:tc>
                <w:tcPr/>
                <w:p>
                  <w:pPr>
                    <w:pStyle w:val="Compact"/>
                    <w:jc w:val="center"/>
                    <w:jc w:val="center"/>
                  </w:pPr>
                  <w:r>
                    <w:t xml:space="preserve">20°</w:t>
                  </w:r>
                </w:p>
              </w:tc>
              <w:tc>
                <w:tcPr/>
                <w:p>
                  <w:pPr>
                    <w:pStyle w:val="Compact"/>
                    <w:jc w:val="center"/>
                    <w:jc w:val="center"/>
                  </w:pPr>
                  <w:r>
                    <w:t xml:space="preserve">SBEG</w:t>
                  </w:r>
                </w:p>
              </w:tc>
              <w:tc>
                <w:tcPr/>
                <w:p>
                  <w:pPr>
                    <w:pStyle w:val="Compact"/>
                    <w:jc w:val="center"/>
                    <w:jc w:val="center"/>
                  </w:pPr>
                  <w:r>
                    <w:t xml:space="preserve">Manaus</w:t>
                  </w:r>
                </w:p>
              </w:tc>
              <w:tc>
                <w:tcPr/>
                <w:p>
                  <w:pPr>
                    <w:pStyle w:val="Compact"/>
                    <w:jc w:val="center"/>
                    <w:jc w:val="center"/>
                  </w:pPr>
                  <w:r>
                    <w:t xml:space="preserve">45602</w:t>
                  </w:r>
                </w:p>
              </w:tc>
              <w:tc>
                <w:tcPr/>
                <w:p>
                  <w:pPr>
                    <w:pStyle w:val="Compact"/>
                    <w:jc w:val="center"/>
                    <w:jc w:val="center"/>
                  </w:pPr>
                  <w:r>
                    <w:t xml:space="preserve">46713</w:t>
                  </w:r>
                </w:p>
              </w:tc>
              <w:tc>
                <w:tcPr/>
                <w:p>
                  <w:pPr>
                    <w:pStyle w:val="Compact"/>
                    <w:jc w:val="center"/>
                    <w:jc w:val="center"/>
                  </w:pPr>
                  <w:r>
                    <w:t xml:space="preserve">1111</w:t>
                  </w:r>
                </w:p>
              </w:tc>
              <w:tc>
                <w:tcPr/>
                <w:p>
                  <w:pPr>
                    <w:pStyle w:val="Compact"/>
                    <w:jc w:val="center"/>
                    <w:jc w:val="center"/>
                  </w:pPr>
                  <w:r>
                    <w:t xml:space="preserve">2.4%</w:t>
                  </w:r>
                </w:p>
              </w:tc>
            </w:tr>
            <w:tr>
              <w:tc>
                <w:tcPr/>
                <w:p>
                  <w:pPr>
                    <w:pStyle w:val="Compact"/>
                    <w:jc w:val="center"/>
                    <w:jc w:val="center"/>
                  </w:pPr>
                  <w:r>
                    <w:t xml:space="preserve">21°</w:t>
                  </w:r>
                </w:p>
              </w:tc>
              <w:tc>
                <w:tcPr/>
                <w:p>
                  <w:pPr>
                    <w:pStyle w:val="Compact"/>
                    <w:jc w:val="center"/>
                    <w:jc w:val="center"/>
                  </w:pPr>
                  <w:r>
                    <w:t xml:space="preserve">SBVT</w:t>
                  </w:r>
                </w:p>
              </w:tc>
              <w:tc>
                <w:tcPr/>
                <w:p>
                  <w:pPr>
                    <w:pStyle w:val="Compact"/>
                    <w:jc w:val="center"/>
                    <w:jc w:val="center"/>
                  </w:pPr>
                  <w:r>
                    <w:t xml:space="preserve">Vitória</w:t>
                  </w:r>
                </w:p>
              </w:tc>
              <w:tc>
                <w:tcPr/>
                <w:p>
                  <w:pPr>
                    <w:pStyle w:val="Compact"/>
                    <w:jc w:val="center"/>
                    <w:jc w:val="center"/>
                  </w:pPr>
                  <w:r>
                    <w:t xml:space="preserve">46165</w:t>
                  </w:r>
                </w:p>
              </w:tc>
              <w:tc>
                <w:tcPr/>
                <w:p>
                  <w:pPr>
                    <w:pStyle w:val="Compact"/>
                    <w:jc w:val="center"/>
                    <w:jc w:val="center"/>
                  </w:pPr>
                  <w:r>
                    <w:t xml:space="preserve">46660</w:t>
                  </w:r>
                </w:p>
              </w:tc>
              <w:tc>
                <w:tcPr/>
                <w:p>
                  <w:pPr>
                    <w:pStyle w:val="Compact"/>
                    <w:jc w:val="center"/>
                    <w:jc w:val="center"/>
                  </w:pPr>
                  <w:r>
                    <w:t xml:space="preserve">495</w:t>
                  </w:r>
                </w:p>
              </w:tc>
              <w:tc>
                <w:tcPr/>
                <w:p>
                  <w:pPr>
                    <w:pStyle w:val="Compact"/>
                    <w:jc w:val="center"/>
                    <w:jc w:val="center"/>
                  </w:pPr>
                  <w:r>
                    <w:t xml:space="preserve">1.1%</w:t>
                  </w:r>
                </w:p>
              </w:tc>
            </w:tr>
            <w:tr>
              <w:tc>
                <w:tcPr/>
                <w:p>
                  <w:pPr>
                    <w:pStyle w:val="Compact"/>
                    <w:jc w:val="center"/>
                    <w:jc w:val="center"/>
                  </w:pPr>
                  <w:r>
                    <w:t xml:space="preserve">22°</w:t>
                  </w:r>
                </w:p>
              </w:tc>
              <w:tc>
                <w:tcPr/>
                <w:p>
                  <w:pPr>
                    <w:pStyle w:val="Compact"/>
                    <w:jc w:val="center"/>
                    <w:jc w:val="center"/>
                  </w:pPr>
                  <w:r>
                    <w:t xml:space="preserve">SBCY</w:t>
                  </w:r>
                </w:p>
              </w:tc>
              <w:tc>
                <w:tcPr/>
                <w:p>
                  <w:pPr>
                    <w:pStyle w:val="Compact"/>
                    <w:jc w:val="center"/>
                    <w:jc w:val="center"/>
                  </w:pPr>
                  <w:r>
                    <w:t xml:space="preserve">Cuiabá</w:t>
                  </w:r>
                </w:p>
              </w:tc>
              <w:tc>
                <w:tcPr/>
                <w:p>
                  <w:pPr>
                    <w:pStyle w:val="Compact"/>
                    <w:jc w:val="center"/>
                    <w:jc w:val="center"/>
                  </w:pPr>
                  <w:r>
                    <w:t xml:space="preserve">46584</w:t>
                  </w:r>
                </w:p>
              </w:tc>
              <w:tc>
                <w:tcPr/>
                <w:p>
                  <w:pPr>
                    <w:pStyle w:val="Compact"/>
                    <w:jc w:val="center"/>
                    <w:jc w:val="center"/>
                  </w:pPr>
                  <w:r>
                    <w:t xml:space="preserve">46101</w:t>
                  </w:r>
                </w:p>
              </w:tc>
              <w:tc>
                <w:tcPr/>
                <w:p>
                  <w:pPr>
                    <w:pStyle w:val="Compact"/>
                    <w:jc w:val="center"/>
                    <w:jc w:val="center"/>
                  </w:pPr>
                  <w:r>
                    <w:t xml:space="preserve">-483</w:t>
                  </w:r>
                </w:p>
              </w:tc>
              <w:tc>
                <w:tcPr/>
                <w:p>
                  <w:pPr>
                    <w:pStyle w:val="Compact"/>
                    <w:jc w:val="center"/>
                    <w:jc w:val="center"/>
                  </w:pPr>
                  <w:r>
                    <w:t xml:space="preserve">-1%</w:t>
                  </w:r>
                </w:p>
              </w:tc>
            </w:tr>
            <w:tr>
              <w:tc>
                <w:tcPr/>
                <w:p>
                  <w:pPr>
                    <w:pStyle w:val="Compact"/>
                    <w:jc w:val="center"/>
                    <w:jc w:val="center"/>
                  </w:pPr>
                  <w:r>
                    <w:t xml:space="preserve">23°</w:t>
                  </w:r>
                </w:p>
              </w:tc>
              <w:tc>
                <w:tcPr/>
                <w:p>
                  <w:pPr>
                    <w:pStyle w:val="Compact"/>
                    <w:jc w:val="center"/>
                    <w:jc w:val="center"/>
                  </w:pPr>
                  <w:r>
                    <w:t xml:space="preserve">SBFS</w:t>
                  </w:r>
                </w:p>
              </w:tc>
              <w:tc>
                <w:tcPr/>
                <w:p>
                  <w:pPr>
                    <w:pStyle w:val="Compact"/>
                    <w:jc w:val="center"/>
                    <w:jc w:val="center"/>
                  </w:pPr>
                  <w:r>
                    <w:t xml:space="preserve">Farol de São Tomé</w:t>
                  </w:r>
                </w:p>
              </w:tc>
              <w:tc>
                <w:tcPr/>
                <w:p>
                  <w:pPr>
                    <w:pStyle w:val="Compact"/>
                    <w:jc w:val="center"/>
                    <w:jc w:val="center"/>
                  </w:pPr>
                  <w:r>
                    <w:t xml:space="preserve">34317</w:t>
                  </w:r>
                </w:p>
              </w:tc>
              <w:tc>
                <w:tcPr/>
                <w:p>
                  <w:pPr>
                    <w:pStyle w:val="Compact"/>
                    <w:jc w:val="center"/>
                    <w:jc w:val="center"/>
                  </w:pPr>
                  <w:r>
                    <w:t xml:space="preserve">35481</w:t>
                  </w:r>
                </w:p>
              </w:tc>
              <w:tc>
                <w:tcPr/>
                <w:p>
                  <w:pPr>
                    <w:pStyle w:val="Compact"/>
                    <w:jc w:val="center"/>
                    <w:jc w:val="center"/>
                  </w:pPr>
                  <w:r>
                    <w:t xml:space="preserve">1164</w:t>
                  </w:r>
                </w:p>
              </w:tc>
              <w:tc>
                <w:tcPr/>
                <w:p>
                  <w:pPr>
                    <w:pStyle w:val="Compact"/>
                    <w:jc w:val="center"/>
                    <w:jc w:val="center"/>
                  </w:pPr>
                  <w:r>
                    <w:t xml:space="preserve">3.4%</w:t>
                  </w:r>
                </w:p>
              </w:tc>
            </w:tr>
            <w:tr>
              <w:tc>
                <w:tcPr/>
                <w:p>
                  <w:pPr>
                    <w:pStyle w:val="Compact"/>
                    <w:jc w:val="center"/>
                    <w:jc w:val="center"/>
                  </w:pPr>
                  <w:r>
                    <w:t xml:space="preserve">24°</w:t>
                  </w:r>
                </w:p>
              </w:tc>
              <w:tc>
                <w:tcPr/>
                <w:p>
                  <w:pPr>
                    <w:pStyle w:val="Compact"/>
                    <w:jc w:val="center"/>
                    <w:jc w:val="center"/>
                  </w:pPr>
                  <w:r>
                    <w:t xml:space="preserve">SBBI</w:t>
                  </w:r>
                </w:p>
              </w:tc>
              <w:tc>
                <w:tcPr/>
                <w:p>
                  <w:pPr>
                    <w:pStyle w:val="Compact"/>
                    <w:jc w:val="center"/>
                    <w:jc w:val="center"/>
                  </w:pPr>
                  <w:r>
                    <w:t xml:space="preserve">Bacacheri</w:t>
                  </w:r>
                </w:p>
              </w:tc>
              <w:tc>
                <w:tcPr/>
                <w:p>
                  <w:pPr>
                    <w:pStyle w:val="Compact"/>
                    <w:jc w:val="center"/>
                    <w:jc w:val="center"/>
                  </w:pPr>
                  <w:r>
                    <w:t xml:space="preserve">32211</w:t>
                  </w:r>
                </w:p>
              </w:tc>
              <w:tc>
                <w:tcPr/>
                <w:p>
                  <w:pPr>
                    <w:pStyle w:val="Compact"/>
                    <w:jc w:val="center"/>
                    <w:jc w:val="center"/>
                  </w:pPr>
                  <w:r>
                    <w:t xml:space="preserve">33768</w:t>
                  </w:r>
                </w:p>
              </w:tc>
              <w:tc>
                <w:tcPr/>
                <w:p>
                  <w:pPr>
                    <w:pStyle w:val="Compact"/>
                    <w:jc w:val="center"/>
                    <w:jc w:val="center"/>
                  </w:pPr>
                  <w:r>
                    <w:t xml:space="preserve">1557</w:t>
                  </w:r>
                </w:p>
              </w:tc>
              <w:tc>
                <w:tcPr/>
                <w:p>
                  <w:pPr>
                    <w:pStyle w:val="Compact"/>
                    <w:jc w:val="center"/>
                    <w:jc w:val="center"/>
                  </w:pPr>
                  <w:r>
                    <w:t xml:space="preserve">4.8%</w:t>
                  </w:r>
                </w:p>
              </w:tc>
            </w:tr>
            <w:tr>
              <w:tc>
                <w:tcPr/>
                <w:p>
                  <w:pPr>
                    <w:pStyle w:val="Compact"/>
                    <w:jc w:val="center"/>
                    <w:jc w:val="center"/>
                  </w:pPr>
                  <w:r>
                    <w:t xml:space="preserve">25°</w:t>
                  </w:r>
                </w:p>
              </w:tc>
              <w:tc>
                <w:tcPr/>
                <w:p>
                  <w:pPr>
                    <w:pStyle w:val="Compact"/>
                    <w:jc w:val="center"/>
                    <w:jc w:val="center"/>
                  </w:pPr>
                  <w:r>
                    <w:t xml:space="preserve">SBYS</w:t>
                  </w:r>
                </w:p>
              </w:tc>
              <w:tc>
                <w:tcPr/>
                <w:p>
                  <w:pPr>
                    <w:pStyle w:val="Compact"/>
                    <w:jc w:val="center"/>
                    <w:jc w:val="center"/>
                  </w:pPr>
                  <w:r>
                    <w:t xml:space="preserve">Pirassununga</w:t>
                  </w:r>
                </w:p>
              </w:tc>
              <w:tc>
                <w:tcPr/>
                <w:p>
                  <w:pPr>
                    <w:pStyle w:val="Compact"/>
                    <w:jc w:val="center"/>
                    <w:jc w:val="center"/>
                  </w:pPr>
                  <w:r>
                    <w:t xml:space="preserve">36214</w:t>
                  </w:r>
                </w:p>
              </w:tc>
              <w:tc>
                <w:tcPr/>
                <w:p>
                  <w:pPr>
                    <w:pStyle w:val="Compact"/>
                    <w:jc w:val="center"/>
                    <w:jc w:val="center"/>
                  </w:pPr>
                  <w:r>
                    <w:t xml:space="preserve">32671</w:t>
                  </w:r>
                </w:p>
              </w:tc>
              <w:tc>
                <w:tcPr/>
                <w:p>
                  <w:pPr>
                    <w:pStyle w:val="Compact"/>
                    <w:jc w:val="center"/>
                    <w:jc w:val="center"/>
                  </w:pPr>
                  <w:r>
                    <w:t xml:space="preserve">-3543</w:t>
                  </w:r>
                </w:p>
              </w:tc>
              <w:tc>
                <w:tcPr/>
                <w:p>
                  <w:pPr>
                    <w:pStyle w:val="Compact"/>
                    <w:jc w:val="center"/>
                    <w:jc w:val="center"/>
                  </w:pPr>
                  <w:r>
                    <w:t xml:space="preserve">-9.8%</w:t>
                  </w:r>
                </w:p>
              </w:tc>
            </w:tr>
            <w:tr>
              <w:tc>
                <w:tcPr/>
                <w:p>
                  <w:pPr>
                    <w:pStyle w:val="Compact"/>
                    <w:jc w:val="center"/>
                    <w:jc w:val="center"/>
                  </w:pPr>
                  <w:r>
                    <w:t xml:space="preserve">26°</w:t>
                  </w:r>
                </w:p>
              </w:tc>
              <w:tc>
                <w:tcPr/>
                <w:p>
                  <w:pPr>
                    <w:pStyle w:val="Compact"/>
                    <w:jc w:val="center"/>
                    <w:jc w:val="center"/>
                  </w:pPr>
                  <w:r>
                    <w:t xml:space="preserve">SBNV</w:t>
                  </w:r>
                </w:p>
              </w:tc>
              <w:tc>
                <w:tcPr/>
                <w:p>
                  <w:pPr>
                    <w:pStyle w:val="Compact"/>
                    <w:jc w:val="center"/>
                    <w:jc w:val="center"/>
                  </w:pPr>
                  <w:r>
                    <w:t xml:space="preserve">Nacional de Aviação</w:t>
                  </w:r>
                </w:p>
              </w:tc>
              <w:tc>
                <w:tcPr/>
                <w:p>
                  <w:pPr>
                    <w:pStyle w:val="Compact"/>
                    <w:jc w:val="center"/>
                    <w:jc w:val="center"/>
                  </w:pPr>
                  <w:r>
                    <w:t xml:space="preserve">23067</w:t>
                  </w:r>
                </w:p>
              </w:tc>
              <w:tc>
                <w:tcPr/>
                <w:p>
                  <w:pPr>
                    <w:pStyle w:val="Compact"/>
                    <w:jc w:val="center"/>
                    <w:jc w:val="center"/>
                  </w:pPr>
                  <w:r>
                    <w:t xml:space="preserve">26663</w:t>
                  </w:r>
                </w:p>
              </w:tc>
              <w:tc>
                <w:tcPr/>
                <w:p>
                  <w:pPr>
                    <w:pStyle w:val="Compact"/>
                    <w:jc w:val="center"/>
                    <w:jc w:val="center"/>
                  </w:pPr>
                  <w:r>
                    <w:t xml:space="preserve">3596</w:t>
                  </w:r>
                </w:p>
              </w:tc>
              <w:tc>
                <w:tcPr/>
                <w:p>
                  <w:pPr>
                    <w:pStyle w:val="Compact"/>
                    <w:jc w:val="center"/>
                    <w:jc w:val="center"/>
                  </w:pPr>
                  <w:r>
                    <w:t xml:space="preserve">15.6%</w:t>
                  </w:r>
                </w:p>
              </w:tc>
            </w:tr>
            <w:tr>
              <w:tc>
                <w:tcPr/>
                <w:p>
                  <w:pPr>
                    <w:pStyle w:val="Compact"/>
                    <w:jc w:val="center"/>
                    <w:jc w:val="center"/>
                  </w:pPr>
                  <w:r>
                    <w:t xml:space="preserve">27°</w:t>
                  </w:r>
                </w:p>
              </w:tc>
              <w:tc>
                <w:tcPr/>
                <w:p>
                  <w:pPr>
                    <w:pStyle w:val="Compact"/>
                    <w:jc w:val="center"/>
                    <w:jc w:val="center"/>
                  </w:pPr>
                  <w:r>
                    <w:t xml:space="preserve">SBME</w:t>
                  </w:r>
                </w:p>
              </w:tc>
              <w:tc>
                <w:tcPr/>
                <w:p>
                  <w:pPr>
                    <w:pStyle w:val="Compact"/>
                    <w:jc w:val="center"/>
                    <w:jc w:val="center"/>
                  </w:pPr>
                  <w:r>
                    <w:t xml:space="preserve">Macaé</w:t>
                  </w:r>
                </w:p>
              </w:tc>
              <w:tc>
                <w:tcPr/>
                <w:p>
                  <w:pPr>
                    <w:pStyle w:val="Compact"/>
                    <w:jc w:val="center"/>
                    <w:jc w:val="center"/>
                  </w:pPr>
                  <w:r>
                    <w:t xml:space="preserve">25993</w:t>
                  </w:r>
                </w:p>
              </w:tc>
              <w:tc>
                <w:tcPr/>
                <w:p>
                  <w:pPr>
                    <w:pStyle w:val="Compact"/>
                    <w:jc w:val="center"/>
                    <w:jc w:val="center"/>
                  </w:pPr>
                  <w:r>
                    <w:t xml:space="preserve">25927</w:t>
                  </w:r>
                </w:p>
              </w:tc>
              <w:tc>
                <w:tcPr/>
                <w:p>
                  <w:pPr>
                    <w:pStyle w:val="Compact"/>
                    <w:jc w:val="center"/>
                    <w:jc w:val="center"/>
                  </w:pPr>
                  <w:r>
                    <w:t xml:space="preserve">-66</w:t>
                  </w:r>
                </w:p>
              </w:tc>
              <w:tc>
                <w:tcPr/>
                <w:p>
                  <w:pPr>
                    <w:pStyle w:val="Compact"/>
                    <w:jc w:val="center"/>
                    <w:jc w:val="center"/>
                  </w:pPr>
                  <w:r>
                    <w:t xml:space="preserve">-0.3%</w:t>
                  </w:r>
                </w:p>
              </w:tc>
            </w:tr>
            <w:tr>
              <w:tc>
                <w:tcPr/>
                <w:p>
                  <w:pPr>
                    <w:pStyle w:val="Compact"/>
                    <w:jc w:val="center"/>
                    <w:jc w:val="center"/>
                  </w:pPr>
                  <w:r>
                    <w:t xml:space="preserve">28°</w:t>
                  </w:r>
                </w:p>
              </w:tc>
              <w:tc>
                <w:tcPr/>
                <w:p>
                  <w:pPr>
                    <w:pStyle w:val="Compact"/>
                    <w:jc w:val="center"/>
                    <w:jc w:val="center"/>
                  </w:pPr>
                  <w:r>
                    <w:t xml:space="preserve">SBJH</w:t>
                  </w:r>
                </w:p>
              </w:tc>
              <w:tc>
                <w:tcPr/>
                <w:p>
                  <w:pPr>
                    <w:pStyle w:val="Compact"/>
                    <w:jc w:val="center"/>
                    <w:jc w:val="center"/>
                  </w:pPr>
                  <w:r>
                    <w:t xml:space="preserve">Catarina</w:t>
                  </w:r>
                </w:p>
              </w:tc>
              <w:tc>
                <w:tcPr/>
                <w:p>
                  <w:pPr>
                    <w:pStyle w:val="Compact"/>
                    <w:jc w:val="center"/>
                    <w:jc w:val="center"/>
                  </w:pPr>
                  <w:r>
                    <w:t xml:space="preserve">16835</w:t>
                  </w:r>
                </w:p>
              </w:tc>
              <w:tc>
                <w:tcPr/>
                <w:p>
                  <w:pPr>
                    <w:pStyle w:val="Compact"/>
                    <w:jc w:val="center"/>
                    <w:jc w:val="center"/>
                  </w:pPr>
                  <w:r>
                    <w:t xml:space="preserve">25662</w:t>
                  </w:r>
                </w:p>
              </w:tc>
              <w:tc>
                <w:tcPr/>
                <w:p>
                  <w:pPr>
                    <w:pStyle w:val="Compact"/>
                    <w:jc w:val="center"/>
                    <w:jc w:val="center"/>
                  </w:pPr>
                  <w:r>
                    <w:t xml:space="preserve">8827</w:t>
                  </w:r>
                </w:p>
              </w:tc>
              <w:tc>
                <w:tcPr/>
                <w:p>
                  <w:pPr>
                    <w:pStyle w:val="Compact"/>
                    <w:jc w:val="center"/>
                    <w:jc w:val="center"/>
                  </w:pPr>
                  <w:r>
                    <w:t xml:space="preserve">52.4%</w:t>
                  </w:r>
                </w:p>
              </w:tc>
            </w:tr>
            <w:tr>
              <w:tc>
                <w:tcPr/>
                <w:p>
                  <w:pPr>
                    <w:pStyle w:val="Compact"/>
                    <w:jc w:val="center"/>
                    <w:jc w:val="center"/>
                  </w:pPr>
                  <w:r>
                    <w:t xml:space="preserve">29°</w:t>
                  </w:r>
                </w:p>
              </w:tc>
              <w:tc>
                <w:tcPr/>
                <w:p>
                  <w:pPr>
                    <w:pStyle w:val="Compact"/>
                    <w:jc w:val="center"/>
                    <w:jc w:val="center"/>
                  </w:pPr>
                  <w:r>
                    <w:t xml:space="preserve">SBNF</w:t>
                  </w:r>
                </w:p>
              </w:tc>
              <w:tc>
                <w:tcPr/>
                <w:p>
                  <w:pPr>
                    <w:pStyle w:val="Compact"/>
                    <w:jc w:val="center"/>
                    <w:jc w:val="center"/>
                  </w:pPr>
                  <w:r>
                    <w:t xml:space="preserve">Navegantes</w:t>
                  </w:r>
                </w:p>
              </w:tc>
              <w:tc>
                <w:tcPr/>
                <w:p>
                  <w:pPr>
                    <w:pStyle w:val="Compact"/>
                    <w:jc w:val="center"/>
                    <w:jc w:val="center"/>
                  </w:pPr>
                  <w:r>
                    <w:t xml:space="preserve">25533</w:t>
                  </w:r>
                </w:p>
              </w:tc>
              <w:tc>
                <w:tcPr/>
                <w:p>
                  <w:pPr>
                    <w:pStyle w:val="Compact"/>
                    <w:jc w:val="center"/>
                    <w:jc w:val="center"/>
                  </w:pPr>
                  <w:r>
                    <w:t xml:space="preserve">25443</w:t>
                  </w:r>
                </w:p>
              </w:tc>
              <w:tc>
                <w:tcPr/>
                <w:p>
                  <w:pPr>
                    <w:pStyle w:val="Compact"/>
                    <w:jc w:val="center"/>
                    <w:jc w:val="center"/>
                  </w:pPr>
                  <w:r>
                    <w:t xml:space="preserve">-90</w:t>
                  </w:r>
                </w:p>
              </w:tc>
              <w:tc>
                <w:tcPr/>
                <w:p>
                  <w:pPr>
                    <w:pStyle w:val="Compact"/>
                    <w:jc w:val="center"/>
                    <w:jc w:val="center"/>
                  </w:pPr>
                  <w:r>
                    <w:t xml:space="preserve">-0.4%</w:t>
                  </w:r>
                </w:p>
              </w:tc>
            </w:tr>
            <w:tr>
              <w:tc>
                <w:tcPr/>
                <w:p>
                  <w:pPr>
                    <w:pStyle w:val="Compact"/>
                    <w:jc w:val="center"/>
                    <w:jc w:val="center"/>
                  </w:pPr>
                  <w:r>
                    <w:t xml:space="preserve">30°</w:t>
                  </w:r>
                </w:p>
              </w:tc>
              <w:tc>
                <w:tcPr/>
                <w:p>
                  <w:pPr>
                    <w:pStyle w:val="Compact"/>
                    <w:jc w:val="center"/>
                    <w:jc w:val="center"/>
                  </w:pPr>
                  <w:r>
                    <w:t xml:space="preserve">SBMO</w:t>
                  </w:r>
                </w:p>
              </w:tc>
              <w:tc>
                <w:tcPr/>
                <w:p>
                  <w:pPr>
                    <w:pStyle w:val="Compact"/>
                    <w:jc w:val="center"/>
                    <w:jc w:val="center"/>
                  </w:pPr>
                  <w:r>
                    <w:t xml:space="preserve">Maceió</w:t>
                  </w:r>
                </w:p>
              </w:tc>
              <w:tc>
                <w:tcPr/>
                <w:p>
                  <w:pPr>
                    <w:pStyle w:val="Compact"/>
                    <w:jc w:val="center"/>
                    <w:jc w:val="center"/>
                  </w:pPr>
                  <w:r>
                    <w:t xml:space="preserve">24457</w:t>
                  </w:r>
                </w:p>
              </w:tc>
              <w:tc>
                <w:tcPr/>
                <w:p>
                  <w:pPr>
                    <w:pStyle w:val="Compact"/>
                    <w:jc w:val="center"/>
                    <w:jc w:val="center"/>
                  </w:pPr>
                  <w:r>
                    <w:t xml:space="preserve">24388</w:t>
                  </w:r>
                </w:p>
              </w:tc>
              <w:tc>
                <w:tcPr/>
                <w:p>
                  <w:pPr>
                    <w:pStyle w:val="Compact"/>
                    <w:jc w:val="center"/>
                    <w:jc w:val="center"/>
                  </w:pPr>
                  <w:r>
                    <w:t xml:space="preserve">-69</w:t>
                  </w:r>
                </w:p>
              </w:tc>
              <w:tc>
                <w:tcPr/>
                <w:p>
                  <w:pPr>
                    <w:pStyle w:val="Compact"/>
                    <w:jc w:val="center"/>
                    <w:jc w:val="center"/>
                  </w:pPr>
                  <w:r>
                    <w:t xml:space="preserve">-0.3%</w:t>
                  </w:r>
                </w:p>
              </w:tc>
            </w:tr>
            <w:tr>
              <w:tc>
                <w:tcPr/>
                <w:p>
                  <w:pPr>
                    <w:pStyle w:val="Compact"/>
                    <w:jc w:val="center"/>
                    <w:jc w:val="center"/>
                  </w:pPr>
                  <w:r>
                    <w:t xml:space="preserve">31°</w:t>
                  </w:r>
                </w:p>
              </w:tc>
              <w:tc>
                <w:tcPr/>
                <w:p>
                  <w:pPr>
                    <w:pStyle w:val="Compact"/>
                    <w:jc w:val="center"/>
                    <w:jc w:val="center"/>
                  </w:pPr>
                  <w:r>
                    <w:t xml:space="preserve">SBPS</w:t>
                  </w:r>
                </w:p>
              </w:tc>
              <w:tc>
                <w:tcPr/>
                <w:p>
                  <w:pPr>
                    <w:pStyle w:val="Compact"/>
                    <w:jc w:val="center"/>
                    <w:jc w:val="center"/>
                  </w:pPr>
                  <w:r>
                    <w:t xml:space="preserve">Porto Seguro</w:t>
                  </w:r>
                </w:p>
              </w:tc>
              <w:tc>
                <w:tcPr/>
                <w:p>
                  <w:pPr>
                    <w:pStyle w:val="Compact"/>
                    <w:jc w:val="center"/>
                    <w:jc w:val="center"/>
                  </w:pPr>
                  <w:r>
                    <w:t xml:space="preserve">21198</w:t>
                  </w:r>
                </w:p>
              </w:tc>
              <w:tc>
                <w:tcPr/>
                <w:p>
                  <w:pPr>
                    <w:pStyle w:val="Compact"/>
                    <w:jc w:val="center"/>
                    <w:jc w:val="center"/>
                  </w:pPr>
                  <w:r>
                    <w:t xml:space="preserve">24002</w:t>
                  </w:r>
                </w:p>
              </w:tc>
              <w:tc>
                <w:tcPr/>
                <w:p>
                  <w:pPr>
                    <w:pStyle w:val="Compact"/>
                    <w:jc w:val="center"/>
                    <w:jc w:val="center"/>
                  </w:pPr>
                  <w:r>
                    <w:t xml:space="preserve">2804</w:t>
                  </w:r>
                </w:p>
              </w:tc>
              <w:tc>
                <w:tcPr/>
                <w:p>
                  <w:pPr>
                    <w:pStyle w:val="Compact"/>
                    <w:jc w:val="center"/>
                    <w:jc w:val="center"/>
                  </w:pPr>
                  <w:r>
                    <w:t xml:space="preserve">13.2%</w:t>
                  </w:r>
                </w:p>
              </w:tc>
            </w:tr>
            <w:tr>
              <w:tc>
                <w:tcPr/>
                <w:p>
                  <w:pPr>
                    <w:pStyle w:val="Compact"/>
                    <w:jc w:val="center"/>
                    <w:jc w:val="center"/>
                  </w:pPr>
                  <w:r>
                    <w:t xml:space="preserve">32°</w:t>
                  </w:r>
                </w:p>
              </w:tc>
              <w:tc>
                <w:tcPr/>
                <w:p>
                  <w:pPr>
                    <w:pStyle w:val="Compact"/>
                    <w:jc w:val="center"/>
                    <w:jc w:val="center"/>
                  </w:pPr>
                  <w:r>
                    <w:t xml:space="preserve">SBUL</w:t>
                  </w:r>
                </w:p>
              </w:tc>
              <w:tc>
                <w:tcPr/>
                <w:p>
                  <w:pPr>
                    <w:pStyle w:val="Compact"/>
                    <w:jc w:val="center"/>
                    <w:jc w:val="center"/>
                  </w:pPr>
                  <w:r>
                    <w:t xml:space="preserve">Uberlândia</w:t>
                  </w:r>
                </w:p>
              </w:tc>
              <w:tc>
                <w:tcPr/>
                <w:p>
                  <w:pPr>
                    <w:pStyle w:val="Compact"/>
                    <w:jc w:val="center"/>
                    <w:jc w:val="center"/>
                  </w:pPr>
                  <w:r>
                    <w:t xml:space="preserve">21717</w:t>
                  </w:r>
                </w:p>
              </w:tc>
              <w:tc>
                <w:tcPr/>
                <w:p>
                  <w:pPr>
                    <w:pStyle w:val="Compact"/>
                    <w:jc w:val="center"/>
                    <w:jc w:val="center"/>
                  </w:pPr>
                  <w:r>
                    <w:t xml:space="preserve">23201</w:t>
                  </w:r>
                </w:p>
              </w:tc>
              <w:tc>
                <w:tcPr/>
                <w:p>
                  <w:pPr>
                    <w:pStyle w:val="Compact"/>
                    <w:jc w:val="center"/>
                    <w:jc w:val="center"/>
                  </w:pPr>
                  <w:r>
                    <w:t xml:space="preserve">1484</w:t>
                  </w:r>
                </w:p>
              </w:tc>
              <w:tc>
                <w:tcPr/>
                <w:p>
                  <w:pPr>
                    <w:pStyle w:val="Compact"/>
                    <w:jc w:val="center"/>
                    <w:jc w:val="center"/>
                  </w:pPr>
                  <w:r>
                    <w:t xml:space="preserve">6.8%</w:t>
                  </w:r>
                </w:p>
              </w:tc>
            </w:tr>
            <w:tr>
              <w:tc>
                <w:tcPr/>
                <w:p>
                  <w:pPr>
                    <w:pStyle w:val="Compact"/>
                    <w:jc w:val="center"/>
                    <w:jc w:val="center"/>
                  </w:pPr>
                  <w:r>
                    <w:t xml:space="preserve">33°</w:t>
                  </w:r>
                </w:p>
              </w:tc>
              <w:tc>
                <w:tcPr/>
                <w:p>
                  <w:pPr>
                    <w:pStyle w:val="Compact"/>
                    <w:jc w:val="center"/>
                    <w:jc w:val="center"/>
                  </w:pPr>
                  <w:r>
                    <w:t xml:space="preserve">SBRP</w:t>
                  </w:r>
                </w:p>
              </w:tc>
              <w:tc>
                <w:tcPr/>
                <w:p>
                  <w:pPr>
                    <w:pStyle w:val="Compact"/>
                    <w:jc w:val="center"/>
                    <w:jc w:val="center"/>
                  </w:pPr>
                  <w:r>
                    <w:t xml:space="preserve">Ribeirão Preto</w:t>
                  </w:r>
                </w:p>
              </w:tc>
              <w:tc>
                <w:tcPr/>
                <w:p>
                  <w:pPr>
                    <w:pStyle w:val="Compact"/>
                    <w:jc w:val="center"/>
                    <w:jc w:val="center"/>
                  </w:pPr>
                  <w:r>
                    <w:t xml:space="preserve">23331</w:t>
                  </w:r>
                </w:p>
              </w:tc>
              <w:tc>
                <w:tcPr/>
                <w:p>
                  <w:pPr>
                    <w:pStyle w:val="Compact"/>
                    <w:jc w:val="center"/>
                    <w:jc w:val="center"/>
                  </w:pPr>
                  <w:r>
                    <w:t xml:space="preserve">23106</w:t>
                  </w:r>
                </w:p>
              </w:tc>
              <w:tc>
                <w:tcPr/>
                <w:p>
                  <w:pPr>
                    <w:pStyle w:val="Compact"/>
                    <w:jc w:val="center"/>
                    <w:jc w:val="center"/>
                  </w:pPr>
                  <w:r>
                    <w:t xml:space="preserve">-225</w:t>
                  </w:r>
                </w:p>
              </w:tc>
              <w:tc>
                <w:tcPr/>
                <w:p>
                  <w:pPr>
                    <w:pStyle w:val="Compact"/>
                    <w:jc w:val="center"/>
                    <w:jc w:val="center"/>
                  </w:pPr>
                  <w:r>
                    <w:t xml:space="preserve">-1%</w:t>
                  </w:r>
                </w:p>
              </w:tc>
            </w:tr>
            <w:tr>
              <w:tc>
                <w:tcPr/>
                <w:p>
                  <w:pPr>
                    <w:pStyle w:val="Compact"/>
                    <w:jc w:val="center"/>
                    <w:jc w:val="center"/>
                  </w:pPr>
                  <w:r>
                    <w:t xml:space="preserve">34°</w:t>
                  </w:r>
                </w:p>
              </w:tc>
              <w:tc>
                <w:tcPr/>
                <w:p>
                  <w:pPr>
                    <w:pStyle w:val="Compact"/>
                    <w:jc w:val="center"/>
                    <w:jc w:val="center"/>
                  </w:pPr>
                  <w:r>
                    <w:t xml:space="preserve">SBCG</w:t>
                  </w:r>
                </w:p>
              </w:tc>
              <w:tc>
                <w:tcPr/>
                <w:p>
                  <w:pPr>
                    <w:pStyle w:val="Compact"/>
                    <w:jc w:val="center"/>
                    <w:jc w:val="center"/>
                  </w:pPr>
                  <w:r>
                    <w:t xml:space="preserve">Campo Grande</w:t>
                  </w:r>
                </w:p>
              </w:tc>
              <w:tc>
                <w:tcPr/>
                <w:p>
                  <w:pPr>
                    <w:pStyle w:val="Compact"/>
                    <w:jc w:val="center"/>
                    <w:jc w:val="center"/>
                  </w:pPr>
                  <w:r>
                    <w:t xml:space="preserve">23409</w:t>
                  </w:r>
                </w:p>
              </w:tc>
              <w:tc>
                <w:tcPr/>
                <w:p>
                  <w:pPr>
                    <w:pStyle w:val="Compact"/>
                    <w:jc w:val="center"/>
                    <w:jc w:val="center"/>
                  </w:pPr>
                  <w:r>
                    <w:t xml:space="preserve">22043</w:t>
                  </w:r>
                </w:p>
              </w:tc>
              <w:tc>
                <w:tcPr/>
                <w:p>
                  <w:pPr>
                    <w:pStyle w:val="Compact"/>
                    <w:jc w:val="center"/>
                    <w:jc w:val="center"/>
                  </w:pPr>
                  <w:r>
                    <w:t xml:space="preserve">-1366</w:t>
                  </w:r>
                </w:p>
              </w:tc>
              <w:tc>
                <w:tcPr/>
                <w:p>
                  <w:pPr>
                    <w:pStyle w:val="Compact"/>
                    <w:jc w:val="center"/>
                    <w:jc w:val="center"/>
                  </w:pPr>
                  <w:r>
                    <w:t xml:space="preserve">-5.8%</w:t>
                  </w:r>
                </w:p>
              </w:tc>
            </w:tr>
            <w:tr>
              <w:tc>
                <w:tcPr/>
                <w:p>
                  <w:pPr>
                    <w:pStyle w:val="Compact"/>
                    <w:jc w:val="center"/>
                    <w:jc w:val="center"/>
                  </w:pPr>
                  <w:r>
                    <w:t xml:space="preserve">35°</w:t>
                  </w:r>
                </w:p>
              </w:tc>
              <w:tc>
                <w:tcPr/>
                <w:p>
                  <w:pPr>
                    <w:pStyle w:val="Compact"/>
                    <w:jc w:val="center"/>
                    <w:jc w:val="center"/>
                  </w:pPr>
                  <w:r>
                    <w:t xml:space="preserve">SBSL</w:t>
                  </w:r>
                </w:p>
              </w:tc>
              <w:tc>
                <w:tcPr/>
                <w:p>
                  <w:pPr>
                    <w:pStyle w:val="Compact"/>
                    <w:jc w:val="center"/>
                    <w:jc w:val="center"/>
                  </w:pPr>
                  <w:r>
                    <w:t xml:space="preserve">São Luís</w:t>
                  </w:r>
                </w:p>
              </w:tc>
              <w:tc>
                <w:tcPr/>
                <w:p>
                  <w:pPr>
                    <w:pStyle w:val="Compact"/>
                    <w:jc w:val="center"/>
                    <w:jc w:val="center"/>
                  </w:pPr>
                  <w:r>
                    <w:t xml:space="preserve">20896</w:t>
                  </w:r>
                </w:p>
              </w:tc>
              <w:tc>
                <w:tcPr/>
                <w:p>
                  <w:pPr>
                    <w:pStyle w:val="Compact"/>
                    <w:jc w:val="center"/>
                    <w:jc w:val="center"/>
                  </w:pPr>
                  <w:r>
                    <w:t xml:space="preserve">21565</w:t>
                  </w:r>
                </w:p>
              </w:tc>
              <w:tc>
                <w:tcPr/>
                <w:p>
                  <w:pPr>
                    <w:pStyle w:val="Compact"/>
                    <w:jc w:val="center"/>
                    <w:jc w:val="center"/>
                  </w:pPr>
                  <w:r>
                    <w:t xml:space="preserve">669</w:t>
                  </w:r>
                </w:p>
              </w:tc>
              <w:tc>
                <w:tcPr/>
                <w:p>
                  <w:pPr>
                    <w:pStyle w:val="Compact"/>
                    <w:jc w:val="center"/>
                    <w:jc w:val="center"/>
                  </w:pPr>
                  <w:r>
                    <w:t xml:space="preserve">3.2%</w:t>
                  </w:r>
                </w:p>
              </w:tc>
            </w:tr>
            <w:tr>
              <w:tc>
                <w:tcPr/>
                <w:p>
                  <w:pPr>
                    <w:pStyle w:val="Compact"/>
                    <w:jc w:val="center"/>
                    <w:jc w:val="center"/>
                  </w:pPr>
                  <w:r>
                    <w:t xml:space="preserve">36°</w:t>
                  </w:r>
                </w:p>
              </w:tc>
              <w:tc>
                <w:tcPr/>
                <w:p>
                  <w:pPr>
                    <w:pStyle w:val="Compact"/>
                    <w:jc w:val="center"/>
                    <w:jc w:val="center"/>
                  </w:pPr>
                  <w:r>
                    <w:t xml:space="preserve">SBMG</w:t>
                  </w:r>
                </w:p>
              </w:tc>
              <w:tc>
                <w:tcPr/>
                <w:p>
                  <w:pPr>
                    <w:pStyle w:val="Compact"/>
                    <w:jc w:val="center"/>
                    <w:jc w:val="center"/>
                  </w:pPr>
                  <w:r>
                    <w:t xml:space="preserve">Maringá</w:t>
                  </w:r>
                </w:p>
              </w:tc>
              <w:tc>
                <w:tcPr/>
                <w:p>
                  <w:pPr>
                    <w:pStyle w:val="Compact"/>
                    <w:jc w:val="center"/>
                    <w:jc w:val="center"/>
                  </w:pPr>
                  <w:r>
                    <w:t xml:space="preserve">20290</w:t>
                  </w:r>
                </w:p>
              </w:tc>
              <w:tc>
                <w:tcPr/>
                <w:p>
                  <w:pPr>
                    <w:pStyle w:val="Compact"/>
                    <w:jc w:val="center"/>
                    <w:jc w:val="center"/>
                  </w:pPr>
                  <w:r>
                    <w:t xml:space="preserve">19868</w:t>
                  </w:r>
                </w:p>
              </w:tc>
              <w:tc>
                <w:tcPr/>
                <w:p>
                  <w:pPr>
                    <w:pStyle w:val="Compact"/>
                    <w:jc w:val="center"/>
                    <w:jc w:val="center"/>
                  </w:pPr>
                  <w:r>
                    <w:t xml:space="preserve">-422</w:t>
                  </w:r>
                </w:p>
              </w:tc>
              <w:tc>
                <w:tcPr/>
                <w:p>
                  <w:pPr>
                    <w:pStyle w:val="Compact"/>
                    <w:jc w:val="center"/>
                    <w:jc w:val="center"/>
                  </w:pPr>
                  <w:r>
                    <w:t xml:space="preserve">-2.1%</w:t>
                  </w:r>
                </w:p>
              </w:tc>
            </w:tr>
            <w:tr>
              <w:tc>
                <w:tcPr/>
                <w:p>
                  <w:pPr>
                    <w:pStyle w:val="Compact"/>
                    <w:jc w:val="center"/>
                    <w:jc w:val="center"/>
                  </w:pPr>
                  <w:r>
                    <w:t xml:space="preserve">37°</w:t>
                  </w:r>
                </w:p>
              </w:tc>
              <w:tc>
                <w:tcPr/>
                <w:p>
                  <w:pPr>
                    <w:pStyle w:val="Compact"/>
                    <w:jc w:val="center"/>
                    <w:jc w:val="center"/>
                  </w:pPr>
                  <w:r>
                    <w:t xml:space="preserve">SBSR</w:t>
                  </w:r>
                </w:p>
              </w:tc>
              <w:tc>
                <w:tcPr/>
                <w:p>
                  <w:pPr>
                    <w:pStyle w:val="Compact"/>
                    <w:jc w:val="center"/>
                    <w:jc w:val="center"/>
                  </w:pPr>
                  <w:r>
                    <w:t xml:space="preserve">São José do Rio Preto</w:t>
                  </w:r>
                </w:p>
              </w:tc>
              <w:tc>
                <w:tcPr/>
                <w:p>
                  <w:pPr>
                    <w:pStyle w:val="Compact"/>
                    <w:jc w:val="center"/>
                    <w:jc w:val="center"/>
                  </w:pPr>
                  <w:r>
                    <w:t xml:space="preserve">19026</w:t>
                  </w:r>
                </w:p>
              </w:tc>
              <w:tc>
                <w:tcPr/>
                <w:p>
                  <w:pPr>
                    <w:pStyle w:val="Compact"/>
                    <w:jc w:val="center"/>
                    <w:jc w:val="center"/>
                  </w:pPr>
                  <w:r>
                    <w:t xml:space="preserve">19672</w:t>
                  </w:r>
                </w:p>
              </w:tc>
              <w:tc>
                <w:tcPr/>
                <w:p>
                  <w:pPr>
                    <w:pStyle w:val="Compact"/>
                    <w:jc w:val="center"/>
                    <w:jc w:val="center"/>
                  </w:pPr>
                  <w:r>
                    <w:t xml:space="preserve">646</w:t>
                  </w:r>
                </w:p>
              </w:tc>
              <w:tc>
                <w:tcPr/>
                <w:p>
                  <w:pPr>
                    <w:pStyle w:val="Compact"/>
                    <w:jc w:val="center"/>
                    <w:jc w:val="center"/>
                  </w:pPr>
                  <w:r>
                    <w:t xml:space="preserve">3.4%</w:t>
                  </w:r>
                </w:p>
              </w:tc>
            </w:tr>
            <w:tr>
              <w:tc>
                <w:tcPr/>
                <w:p>
                  <w:pPr>
                    <w:pStyle w:val="Compact"/>
                    <w:jc w:val="center"/>
                    <w:jc w:val="center"/>
                  </w:pPr>
                  <w:r>
                    <w:t xml:space="preserve">38°</w:t>
                  </w:r>
                </w:p>
              </w:tc>
              <w:tc>
                <w:tcPr/>
                <w:p>
                  <w:pPr>
                    <w:pStyle w:val="Compact"/>
                    <w:jc w:val="center"/>
                    <w:jc w:val="center"/>
                  </w:pPr>
                  <w:r>
                    <w:t xml:space="preserve">SBFI</w:t>
                  </w:r>
                </w:p>
              </w:tc>
              <w:tc>
                <w:tcPr/>
                <w:p>
                  <w:pPr>
                    <w:pStyle w:val="Compact"/>
                    <w:jc w:val="center"/>
                    <w:jc w:val="center"/>
                  </w:pPr>
                  <w:r>
                    <w:t xml:space="preserve">Foz do Iguaçu</w:t>
                  </w:r>
                </w:p>
              </w:tc>
              <w:tc>
                <w:tcPr/>
                <w:p>
                  <w:pPr>
                    <w:pStyle w:val="Compact"/>
                    <w:jc w:val="center"/>
                    <w:jc w:val="center"/>
                  </w:pPr>
                  <w:r>
                    <w:t xml:space="preserve">18484</w:t>
                  </w:r>
                </w:p>
              </w:tc>
              <w:tc>
                <w:tcPr/>
                <w:p>
                  <w:pPr>
                    <w:pStyle w:val="Compact"/>
                    <w:jc w:val="center"/>
                    <w:jc w:val="center"/>
                  </w:pPr>
                  <w:r>
                    <w:t xml:space="preserve">19350</w:t>
                  </w:r>
                </w:p>
              </w:tc>
              <w:tc>
                <w:tcPr/>
                <w:p>
                  <w:pPr>
                    <w:pStyle w:val="Compact"/>
                    <w:jc w:val="center"/>
                    <w:jc w:val="center"/>
                  </w:pPr>
                  <w:r>
                    <w:t xml:space="preserve">866</w:t>
                  </w:r>
                </w:p>
              </w:tc>
              <w:tc>
                <w:tcPr/>
                <w:p>
                  <w:pPr>
                    <w:pStyle w:val="Compact"/>
                    <w:jc w:val="center"/>
                    <w:jc w:val="center"/>
                  </w:pPr>
                  <w:r>
                    <w:t xml:space="preserve">4.7%</w:t>
                  </w:r>
                </w:p>
              </w:tc>
            </w:tr>
            <w:tr>
              <w:tc>
                <w:tcPr/>
                <w:p>
                  <w:pPr>
                    <w:pStyle w:val="Compact"/>
                    <w:jc w:val="center"/>
                    <w:jc w:val="center"/>
                  </w:pPr>
                  <w:r>
                    <w:t xml:space="preserve">39°</w:t>
                  </w:r>
                </w:p>
              </w:tc>
              <w:tc>
                <w:tcPr/>
                <w:p>
                  <w:pPr>
                    <w:pStyle w:val="Compact"/>
                    <w:jc w:val="center"/>
                    <w:jc w:val="center"/>
                  </w:pPr>
                  <w:r>
                    <w:t xml:space="preserve">SBMI</w:t>
                  </w:r>
                </w:p>
              </w:tc>
              <w:tc>
                <w:tcPr/>
                <w:p>
                  <w:pPr>
                    <w:pStyle w:val="Compact"/>
                    <w:jc w:val="center"/>
                    <w:jc w:val="center"/>
                  </w:pPr>
                  <w:r>
                    <w:t xml:space="preserve">Maricá</w:t>
                  </w:r>
                </w:p>
              </w:tc>
              <w:tc>
                <w:tcPr/>
                <w:p>
                  <w:pPr>
                    <w:pStyle w:val="Compact"/>
                    <w:jc w:val="center"/>
                    <w:jc w:val="center"/>
                  </w:pPr>
                  <w:r>
                    <w:t xml:space="preserve">12175</w:t>
                  </w:r>
                </w:p>
              </w:tc>
              <w:tc>
                <w:tcPr/>
                <w:p>
                  <w:pPr>
                    <w:pStyle w:val="Compact"/>
                    <w:jc w:val="center"/>
                    <w:jc w:val="center"/>
                  </w:pPr>
                  <w:r>
                    <w:t xml:space="preserve">18015</w:t>
                  </w:r>
                </w:p>
              </w:tc>
              <w:tc>
                <w:tcPr/>
                <w:p>
                  <w:pPr>
                    <w:pStyle w:val="Compact"/>
                    <w:jc w:val="center"/>
                    <w:jc w:val="center"/>
                  </w:pPr>
                  <w:r>
                    <w:t xml:space="preserve">5840</w:t>
                  </w:r>
                </w:p>
              </w:tc>
              <w:tc>
                <w:tcPr/>
                <w:p>
                  <w:pPr>
                    <w:pStyle w:val="Compact"/>
                    <w:jc w:val="center"/>
                    <w:jc w:val="center"/>
                  </w:pPr>
                  <w:r>
                    <w:t xml:space="preserve">48%</w:t>
                  </w:r>
                </w:p>
              </w:tc>
            </w:tr>
            <w:tr>
              <w:tc>
                <w:tcPr/>
                <w:p>
                  <w:pPr>
                    <w:pStyle w:val="Compact"/>
                    <w:jc w:val="center"/>
                    <w:jc w:val="center"/>
                  </w:pPr>
                  <w:r>
                    <w:t xml:space="preserve">40°</w:t>
                  </w:r>
                </w:p>
              </w:tc>
              <w:tc>
                <w:tcPr/>
                <w:p>
                  <w:pPr>
                    <w:pStyle w:val="Compact"/>
                    <w:jc w:val="center"/>
                    <w:jc w:val="center"/>
                  </w:pPr>
                  <w:r>
                    <w:t xml:space="preserve">SBSG</w:t>
                  </w:r>
                </w:p>
              </w:tc>
              <w:tc>
                <w:tcPr/>
                <w:p>
                  <w:pPr>
                    <w:pStyle w:val="Compact"/>
                    <w:jc w:val="center"/>
                    <w:jc w:val="center"/>
                  </w:pPr>
                  <w:r>
                    <w:t xml:space="preserve">São Gonçalo do Amarante</w:t>
                  </w:r>
                </w:p>
              </w:tc>
              <w:tc>
                <w:tcPr/>
                <w:p>
                  <w:pPr>
                    <w:pStyle w:val="Compact"/>
                    <w:jc w:val="center"/>
                    <w:jc w:val="center"/>
                  </w:pPr>
                  <w:r>
                    <w:t xml:space="preserve">20143</w:t>
                  </w:r>
                </w:p>
              </w:tc>
              <w:tc>
                <w:tcPr/>
                <w:p>
                  <w:pPr>
                    <w:pStyle w:val="Compact"/>
                    <w:jc w:val="center"/>
                    <w:jc w:val="center"/>
                  </w:pPr>
                  <w:r>
                    <w:t xml:space="preserve">17748</w:t>
                  </w:r>
                </w:p>
              </w:tc>
              <w:tc>
                <w:tcPr/>
                <w:p>
                  <w:pPr>
                    <w:pStyle w:val="Compact"/>
                    <w:jc w:val="center"/>
                    <w:jc w:val="center"/>
                  </w:pPr>
                  <w:r>
                    <w:t xml:space="preserve">-2395</w:t>
                  </w:r>
                </w:p>
              </w:tc>
              <w:tc>
                <w:tcPr/>
                <w:p>
                  <w:pPr>
                    <w:pStyle w:val="Compact"/>
                    <w:jc w:val="center"/>
                    <w:jc w:val="center"/>
                  </w:pPr>
                  <w:r>
                    <w:t xml:space="preserve">-11.9%</w:t>
                  </w:r>
                </w:p>
              </w:tc>
            </w:tr>
            <w:tr>
              <w:tc>
                <w:tcPr/>
                <w:p>
                  <w:pPr>
                    <w:pStyle w:val="Compact"/>
                    <w:jc w:val="center"/>
                    <w:jc w:val="center"/>
                  </w:pPr>
                  <w:r>
                    <w:t xml:space="preserve">41°</w:t>
                  </w:r>
                </w:p>
              </w:tc>
              <w:tc>
                <w:tcPr/>
                <w:p>
                  <w:pPr>
                    <w:pStyle w:val="Compact"/>
                    <w:jc w:val="center"/>
                    <w:jc w:val="center"/>
                  </w:pPr>
                  <w:r>
                    <w:t xml:space="preserve">SBLO</w:t>
                  </w:r>
                </w:p>
              </w:tc>
              <w:tc>
                <w:tcPr/>
                <w:p>
                  <w:pPr>
                    <w:pStyle w:val="Compact"/>
                    <w:jc w:val="center"/>
                    <w:jc w:val="center"/>
                  </w:pPr>
                  <w:r>
                    <w:t xml:space="preserve">Londrina</w:t>
                  </w:r>
                </w:p>
              </w:tc>
              <w:tc>
                <w:tcPr/>
                <w:p>
                  <w:pPr>
                    <w:pStyle w:val="Compact"/>
                    <w:jc w:val="center"/>
                    <w:jc w:val="center"/>
                  </w:pPr>
                  <w:r>
                    <w:t xml:space="preserve">17875</w:t>
                  </w:r>
                </w:p>
              </w:tc>
              <w:tc>
                <w:tcPr/>
                <w:p>
                  <w:pPr>
                    <w:pStyle w:val="Compact"/>
                    <w:jc w:val="center"/>
                    <w:jc w:val="center"/>
                  </w:pPr>
                  <w:r>
                    <w:t xml:space="preserve">17489</w:t>
                  </w:r>
                </w:p>
              </w:tc>
              <w:tc>
                <w:tcPr/>
                <w:p>
                  <w:pPr>
                    <w:pStyle w:val="Compact"/>
                    <w:jc w:val="center"/>
                    <w:jc w:val="center"/>
                  </w:pPr>
                  <w:r>
                    <w:t xml:space="preserve">-386</w:t>
                  </w:r>
                </w:p>
              </w:tc>
              <w:tc>
                <w:tcPr/>
                <w:p>
                  <w:pPr>
                    <w:pStyle w:val="Compact"/>
                    <w:jc w:val="center"/>
                    <w:jc w:val="center"/>
                  </w:pPr>
                  <w:r>
                    <w:t xml:space="preserve">-2.2%</w:t>
                  </w:r>
                </w:p>
              </w:tc>
            </w:tr>
            <w:tr>
              <w:tc>
                <w:tcPr/>
                <w:p>
                  <w:pPr>
                    <w:pStyle w:val="Compact"/>
                    <w:jc w:val="center"/>
                    <w:jc w:val="center"/>
                  </w:pPr>
                  <w:r>
                    <w:t xml:space="preserve">42°</w:t>
                  </w:r>
                </w:p>
              </w:tc>
              <w:tc>
                <w:tcPr/>
                <w:p>
                  <w:pPr>
                    <w:pStyle w:val="Compact"/>
                    <w:jc w:val="center"/>
                    <w:jc w:val="center"/>
                  </w:pPr>
                  <w:r>
                    <w:t xml:space="preserve">SBPG</w:t>
                  </w:r>
                </w:p>
              </w:tc>
              <w:tc>
                <w:tcPr/>
                <w:p>
                  <w:pPr>
                    <w:pStyle w:val="Compact"/>
                    <w:jc w:val="center"/>
                    <w:jc w:val="center"/>
                  </w:pPr>
                  <w:r>
                    <w:t xml:space="preserve">Ponta Grossa</w:t>
                  </w:r>
                </w:p>
              </w:tc>
              <w:tc>
                <w:tcPr/>
                <w:p>
                  <w:pPr>
                    <w:pStyle w:val="Compact"/>
                    <w:jc w:val="center"/>
                    <w:jc w:val="center"/>
                  </w:pPr>
                  <w:r>
                    <w:t xml:space="preserve">21256</w:t>
                  </w:r>
                </w:p>
              </w:tc>
              <w:tc>
                <w:tcPr/>
                <w:p>
                  <w:pPr>
                    <w:pStyle w:val="Compact"/>
                    <w:jc w:val="center"/>
                    <w:jc w:val="center"/>
                  </w:pPr>
                  <w:r>
                    <w:t xml:space="preserve">17315</w:t>
                  </w:r>
                </w:p>
              </w:tc>
              <w:tc>
                <w:tcPr/>
                <w:p>
                  <w:pPr>
                    <w:pStyle w:val="Compact"/>
                    <w:jc w:val="center"/>
                    <w:jc w:val="center"/>
                  </w:pPr>
                  <w:r>
                    <w:t xml:space="preserve">-3941</w:t>
                  </w:r>
                </w:p>
              </w:tc>
              <w:tc>
                <w:tcPr/>
                <w:p>
                  <w:pPr>
                    <w:pStyle w:val="Compact"/>
                    <w:jc w:val="center"/>
                    <w:jc w:val="center"/>
                  </w:pPr>
                  <w:r>
                    <w:t xml:space="preserve">-18.5%</w:t>
                  </w:r>
                </w:p>
              </w:tc>
            </w:tr>
            <w:tr>
              <w:tc>
                <w:tcPr/>
                <w:p>
                  <w:pPr>
                    <w:pStyle w:val="Compact"/>
                    <w:jc w:val="center"/>
                    <w:jc w:val="center"/>
                  </w:pPr>
                  <w:r>
                    <w:t xml:space="preserve">43°</w:t>
                  </w:r>
                </w:p>
              </w:tc>
              <w:tc>
                <w:tcPr/>
                <w:p>
                  <w:pPr>
                    <w:pStyle w:val="Compact"/>
                    <w:jc w:val="center"/>
                    <w:jc w:val="center"/>
                  </w:pPr>
                  <w:r>
                    <w:t xml:space="preserve">SDCO</w:t>
                  </w:r>
                </w:p>
              </w:tc>
              <w:tc>
                <w:tcPr/>
                <w:p>
                  <w:pPr>
                    <w:pStyle w:val="Compact"/>
                    <w:jc w:val="center"/>
                    <w:jc w:val="center"/>
                  </w:pPr>
                  <w:r>
                    <w:t xml:space="preserve">Sorocaba</w:t>
                  </w:r>
                </w:p>
              </w:tc>
              <w:tc>
                <w:tcPr/>
                <w:p>
                  <w:pPr>
                    <w:pStyle w:val="Compact"/>
                    <w:jc w:val="center"/>
                    <w:jc w:val="center"/>
                  </w:pPr>
                  <w:r>
                    <w:t xml:space="preserve">14130</w:t>
                  </w:r>
                </w:p>
              </w:tc>
              <w:tc>
                <w:tcPr/>
                <w:p>
                  <w:pPr>
                    <w:pStyle w:val="Compact"/>
                    <w:jc w:val="center"/>
                    <w:jc w:val="center"/>
                  </w:pPr>
                  <w:r>
                    <w:t xml:space="preserve">17032</w:t>
                  </w:r>
                </w:p>
              </w:tc>
              <w:tc>
                <w:tcPr/>
                <w:p>
                  <w:pPr>
                    <w:pStyle w:val="Compact"/>
                    <w:jc w:val="center"/>
                    <w:jc w:val="center"/>
                  </w:pPr>
                  <w:r>
                    <w:t xml:space="preserve">2902</w:t>
                  </w:r>
                </w:p>
              </w:tc>
              <w:tc>
                <w:tcPr/>
                <w:p>
                  <w:pPr>
                    <w:pStyle w:val="Compact"/>
                    <w:jc w:val="center"/>
                    <w:jc w:val="center"/>
                  </w:pPr>
                  <w:r>
                    <w:t xml:space="preserve">20.5%</w:t>
                  </w:r>
                </w:p>
              </w:tc>
            </w:tr>
            <w:tr>
              <w:tc>
                <w:tcPr/>
                <w:p>
                  <w:pPr>
                    <w:pStyle w:val="Compact"/>
                    <w:jc w:val="center"/>
                    <w:jc w:val="center"/>
                  </w:pPr>
                  <w:r>
                    <w:t xml:space="preserve">44°</w:t>
                  </w:r>
                </w:p>
              </w:tc>
              <w:tc>
                <w:tcPr/>
                <w:p>
                  <w:pPr>
                    <w:pStyle w:val="Compact"/>
                    <w:jc w:val="center"/>
                    <w:jc w:val="center"/>
                  </w:pPr>
                  <w:r>
                    <w:t xml:space="preserve">SBJP</w:t>
                  </w:r>
                </w:p>
              </w:tc>
              <w:tc>
                <w:tcPr/>
                <w:p>
                  <w:pPr>
                    <w:pStyle w:val="Compact"/>
                    <w:jc w:val="center"/>
                    <w:jc w:val="center"/>
                  </w:pPr>
                  <w:r>
                    <w:t xml:space="preserve">João Pessoa</w:t>
                  </w:r>
                </w:p>
              </w:tc>
              <w:tc>
                <w:tcPr/>
                <w:p>
                  <w:pPr>
                    <w:pStyle w:val="Compact"/>
                    <w:jc w:val="center"/>
                    <w:jc w:val="center"/>
                  </w:pPr>
                  <w:r>
                    <w:t xml:space="preserve">15651</w:t>
                  </w:r>
                </w:p>
              </w:tc>
              <w:tc>
                <w:tcPr/>
                <w:p>
                  <w:pPr>
                    <w:pStyle w:val="Compact"/>
                    <w:jc w:val="center"/>
                    <w:jc w:val="center"/>
                  </w:pPr>
                  <w:r>
                    <w:t xml:space="preserve">16596</w:t>
                  </w:r>
                </w:p>
              </w:tc>
              <w:tc>
                <w:tcPr/>
                <w:p>
                  <w:pPr>
                    <w:pStyle w:val="Compact"/>
                    <w:jc w:val="center"/>
                    <w:jc w:val="center"/>
                  </w:pPr>
                  <w:r>
                    <w:t xml:space="preserve">945</w:t>
                  </w:r>
                </w:p>
              </w:tc>
              <w:tc>
                <w:tcPr/>
                <w:p>
                  <w:pPr>
                    <w:pStyle w:val="Compact"/>
                    <w:jc w:val="center"/>
                    <w:jc w:val="center"/>
                  </w:pPr>
                  <w:r>
                    <w:t xml:space="preserve">6%</w:t>
                  </w:r>
                </w:p>
              </w:tc>
            </w:tr>
            <w:tr>
              <w:tc>
                <w:tcPr/>
                <w:p>
                  <w:pPr>
                    <w:pStyle w:val="Compact"/>
                    <w:jc w:val="center"/>
                    <w:jc w:val="center"/>
                  </w:pPr>
                  <w:r>
                    <w:t xml:space="preserve">45°</w:t>
                  </w:r>
                </w:p>
              </w:tc>
              <w:tc>
                <w:tcPr/>
                <w:p>
                  <w:pPr>
                    <w:pStyle w:val="Compact"/>
                    <w:jc w:val="center"/>
                    <w:jc w:val="center"/>
                  </w:pPr>
                  <w:r>
                    <w:t xml:space="preserve">SBNT</w:t>
                  </w:r>
                </w:p>
              </w:tc>
              <w:tc>
                <w:tcPr/>
                <w:p>
                  <w:pPr>
                    <w:pStyle w:val="Compact"/>
                    <w:jc w:val="center"/>
                    <w:jc w:val="center"/>
                  </w:pPr>
                  <w:r>
                    <w:t xml:space="preserve">Natal</w:t>
                  </w:r>
                </w:p>
              </w:tc>
              <w:tc>
                <w:tcPr/>
                <w:p>
                  <w:pPr>
                    <w:pStyle w:val="Compact"/>
                    <w:jc w:val="center"/>
                    <w:jc w:val="center"/>
                  </w:pPr>
                  <w:r>
                    <w:t xml:space="preserve">19196</w:t>
                  </w:r>
                </w:p>
              </w:tc>
              <w:tc>
                <w:tcPr/>
                <w:p>
                  <w:pPr>
                    <w:pStyle w:val="Compact"/>
                    <w:jc w:val="center"/>
                    <w:jc w:val="center"/>
                  </w:pPr>
                  <w:r>
                    <w:t xml:space="preserve">16158</w:t>
                  </w:r>
                </w:p>
              </w:tc>
              <w:tc>
                <w:tcPr/>
                <w:p>
                  <w:pPr>
                    <w:pStyle w:val="Compact"/>
                    <w:jc w:val="center"/>
                    <w:jc w:val="center"/>
                  </w:pPr>
                  <w:r>
                    <w:t xml:space="preserve">-3038</w:t>
                  </w:r>
                </w:p>
              </w:tc>
              <w:tc>
                <w:tcPr/>
                <w:p>
                  <w:pPr>
                    <w:pStyle w:val="Compact"/>
                    <w:jc w:val="center"/>
                    <w:jc w:val="center"/>
                  </w:pPr>
                  <w:r>
                    <w:t xml:space="preserve">-15.8%</w:t>
                  </w:r>
                </w:p>
              </w:tc>
            </w:tr>
            <w:tr>
              <w:tc>
                <w:tcPr/>
                <w:p>
                  <w:pPr>
                    <w:pStyle w:val="Compact"/>
                    <w:jc w:val="center"/>
                    <w:jc w:val="center"/>
                  </w:pPr>
                  <w:r>
                    <w:t xml:space="preserve">46°</w:t>
                  </w:r>
                </w:p>
              </w:tc>
              <w:tc>
                <w:tcPr/>
                <w:p>
                  <w:pPr>
                    <w:pStyle w:val="Compact"/>
                    <w:jc w:val="center"/>
                    <w:jc w:val="center"/>
                  </w:pPr>
                  <w:r>
                    <w:t xml:space="preserve">SBSJ</w:t>
                  </w:r>
                </w:p>
              </w:tc>
              <w:tc>
                <w:tcPr/>
                <w:p>
                  <w:pPr>
                    <w:pStyle w:val="Compact"/>
                    <w:jc w:val="center"/>
                    <w:jc w:val="center"/>
                  </w:pPr>
                  <w:r>
                    <w:t xml:space="preserve">São José dos Campos</w:t>
                  </w:r>
                </w:p>
              </w:tc>
              <w:tc>
                <w:tcPr/>
                <w:p>
                  <w:pPr>
                    <w:pStyle w:val="Compact"/>
                    <w:jc w:val="center"/>
                    <w:jc w:val="center"/>
                  </w:pPr>
                  <w:r>
                    <w:t xml:space="preserve">16315</w:t>
                  </w:r>
                </w:p>
              </w:tc>
              <w:tc>
                <w:tcPr/>
                <w:p>
                  <w:pPr>
                    <w:pStyle w:val="Compact"/>
                    <w:jc w:val="center"/>
                    <w:jc w:val="center"/>
                  </w:pPr>
                  <w:r>
                    <w:t xml:space="preserve">15990</w:t>
                  </w:r>
                </w:p>
              </w:tc>
              <w:tc>
                <w:tcPr/>
                <w:p>
                  <w:pPr>
                    <w:pStyle w:val="Compact"/>
                    <w:jc w:val="center"/>
                    <w:jc w:val="center"/>
                  </w:pPr>
                  <w:r>
                    <w:t xml:space="preserve">-325</w:t>
                  </w:r>
                </w:p>
              </w:tc>
              <w:tc>
                <w:tcPr/>
                <w:p>
                  <w:pPr>
                    <w:pStyle w:val="Compact"/>
                    <w:jc w:val="center"/>
                    <w:jc w:val="center"/>
                  </w:pPr>
                  <w:r>
                    <w:t xml:space="preserve">-2%</w:t>
                  </w:r>
                </w:p>
              </w:tc>
            </w:tr>
            <w:tr>
              <w:tc>
                <w:tcPr/>
                <w:p>
                  <w:pPr>
                    <w:pStyle w:val="Compact"/>
                    <w:jc w:val="center"/>
                    <w:jc w:val="center"/>
                  </w:pPr>
                  <w:r>
                    <w:t xml:space="preserve">47°</w:t>
                  </w:r>
                </w:p>
              </w:tc>
              <w:tc>
                <w:tcPr/>
                <w:p>
                  <w:pPr>
                    <w:pStyle w:val="Compact"/>
                    <w:jc w:val="center"/>
                    <w:jc w:val="center"/>
                  </w:pPr>
                  <w:r>
                    <w:t xml:space="preserve">SBAR</w:t>
                  </w:r>
                </w:p>
              </w:tc>
              <w:tc>
                <w:tcPr/>
                <w:p>
                  <w:pPr>
                    <w:pStyle w:val="Compact"/>
                    <w:jc w:val="center"/>
                    <w:jc w:val="center"/>
                  </w:pPr>
                  <w:r>
                    <w:t xml:space="preserve">Santa Maria</w:t>
                  </w:r>
                </w:p>
              </w:tc>
              <w:tc>
                <w:tcPr/>
                <w:p>
                  <w:pPr>
                    <w:pStyle w:val="Compact"/>
                    <w:jc w:val="center"/>
                    <w:jc w:val="center"/>
                  </w:pPr>
                  <w:r>
                    <w:t xml:space="preserve">14601</w:t>
                  </w:r>
                </w:p>
              </w:tc>
              <w:tc>
                <w:tcPr/>
                <w:p>
                  <w:pPr>
                    <w:pStyle w:val="Compact"/>
                    <w:jc w:val="center"/>
                    <w:jc w:val="center"/>
                  </w:pPr>
                  <w:r>
                    <w:t xml:space="preserve">15836</w:t>
                  </w:r>
                </w:p>
              </w:tc>
              <w:tc>
                <w:tcPr/>
                <w:p>
                  <w:pPr>
                    <w:pStyle w:val="Compact"/>
                    <w:jc w:val="center"/>
                    <w:jc w:val="center"/>
                  </w:pPr>
                  <w:r>
                    <w:t xml:space="preserve">1235</w:t>
                  </w:r>
                </w:p>
              </w:tc>
              <w:tc>
                <w:tcPr/>
                <w:p>
                  <w:pPr>
                    <w:pStyle w:val="Compact"/>
                    <w:jc w:val="center"/>
                    <w:jc w:val="center"/>
                  </w:pPr>
                  <w:r>
                    <w:t xml:space="preserve">8.5%</w:t>
                  </w:r>
                </w:p>
              </w:tc>
            </w:tr>
            <w:tr>
              <w:tc>
                <w:tcPr/>
                <w:p>
                  <w:pPr>
                    <w:pStyle w:val="Compact"/>
                    <w:jc w:val="center"/>
                    <w:jc w:val="center"/>
                  </w:pPr>
                  <w:r>
                    <w:t xml:space="preserve">48°</w:t>
                  </w:r>
                </w:p>
              </w:tc>
              <w:tc>
                <w:tcPr/>
                <w:p>
                  <w:pPr>
                    <w:pStyle w:val="Compact"/>
                    <w:jc w:val="center"/>
                    <w:jc w:val="center"/>
                  </w:pPr>
                  <w:r>
                    <w:t xml:space="preserve">SBCB</w:t>
                  </w:r>
                </w:p>
              </w:tc>
              <w:tc>
                <w:tcPr/>
                <w:p>
                  <w:pPr>
                    <w:pStyle w:val="Compact"/>
                    <w:jc w:val="center"/>
                    <w:jc w:val="center"/>
                  </w:pPr>
                  <w:r>
                    <w:t xml:space="preserve">Cabo Frio</w:t>
                  </w:r>
                </w:p>
              </w:tc>
              <w:tc>
                <w:tcPr/>
                <w:p>
                  <w:pPr>
                    <w:pStyle w:val="Compact"/>
                    <w:jc w:val="center"/>
                    <w:jc w:val="center"/>
                  </w:pPr>
                  <w:r>
                    <w:t xml:space="preserve">21323</w:t>
                  </w:r>
                </w:p>
              </w:tc>
              <w:tc>
                <w:tcPr/>
                <w:p>
                  <w:pPr>
                    <w:pStyle w:val="Compact"/>
                    <w:jc w:val="center"/>
                    <w:jc w:val="center"/>
                  </w:pPr>
                  <w:r>
                    <w:t xml:space="preserve">14934</w:t>
                  </w:r>
                </w:p>
              </w:tc>
              <w:tc>
                <w:tcPr/>
                <w:p>
                  <w:pPr>
                    <w:pStyle w:val="Compact"/>
                    <w:jc w:val="center"/>
                    <w:jc w:val="center"/>
                  </w:pPr>
                  <w:r>
                    <w:t xml:space="preserve">-6389</w:t>
                  </w:r>
                </w:p>
              </w:tc>
              <w:tc>
                <w:tcPr/>
                <w:p>
                  <w:pPr>
                    <w:pStyle w:val="Compact"/>
                    <w:jc w:val="center"/>
                    <w:jc w:val="center"/>
                  </w:pPr>
                  <w:r>
                    <w:t xml:space="preserve">-30%</w:t>
                  </w:r>
                </w:p>
              </w:tc>
            </w:tr>
            <w:tr>
              <w:tc>
                <w:tcPr/>
                <w:p>
                  <w:pPr>
                    <w:pStyle w:val="Compact"/>
                    <w:jc w:val="center"/>
                    <w:jc w:val="center"/>
                  </w:pPr>
                  <w:r>
                    <w:t xml:space="preserve">49°</w:t>
                  </w:r>
                </w:p>
              </w:tc>
              <w:tc>
                <w:tcPr/>
                <w:p>
                  <w:pPr>
                    <w:pStyle w:val="Compact"/>
                    <w:jc w:val="center"/>
                    <w:jc w:val="center"/>
                  </w:pPr>
                  <w:r>
                    <w:t xml:space="preserve">SDAM</w:t>
                  </w:r>
                </w:p>
              </w:tc>
              <w:tc>
                <w:tcPr/>
                <w:p>
                  <w:pPr>
                    <w:pStyle w:val="Compact"/>
                    <w:jc w:val="center"/>
                    <w:jc w:val="center"/>
                  </w:pPr>
                  <w:r>
                    <w:t xml:space="preserve">Aeródromo Amarais</w:t>
                  </w:r>
                </w:p>
              </w:tc>
              <w:tc>
                <w:tcPr/>
                <w:p>
                  <w:pPr>
                    <w:pStyle w:val="Compact"/>
                    <w:jc w:val="center"/>
                    <w:jc w:val="center"/>
                  </w:pPr>
                  <w:r>
                    <w:t xml:space="preserve">9158</w:t>
                  </w:r>
                </w:p>
              </w:tc>
              <w:tc>
                <w:tcPr/>
                <w:p>
                  <w:pPr>
                    <w:pStyle w:val="Compact"/>
                    <w:jc w:val="center"/>
                    <w:jc w:val="center"/>
                  </w:pPr>
                  <w:r>
                    <w:t xml:space="preserve">14759</w:t>
                  </w:r>
                </w:p>
              </w:tc>
              <w:tc>
                <w:tcPr/>
                <w:p>
                  <w:pPr>
                    <w:pStyle w:val="Compact"/>
                    <w:jc w:val="center"/>
                    <w:jc w:val="center"/>
                  </w:pPr>
                  <w:r>
                    <w:t xml:space="preserve">5601</w:t>
                  </w:r>
                </w:p>
              </w:tc>
              <w:tc>
                <w:tcPr/>
                <w:p>
                  <w:pPr>
                    <w:pStyle w:val="Compact"/>
                    <w:jc w:val="center"/>
                    <w:jc w:val="center"/>
                  </w:pPr>
                  <w:r>
                    <w:t xml:space="preserve">61.2%</w:t>
                  </w:r>
                </w:p>
              </w:tc>
            </w:tr>
            <w:tr>
              <w:tc>
                <w:tcPr/>
                <w:p>
                  <w:pPr>
                    <w:pStyle w:val="Compact"/>
                    <w:jc w:val="center"/>
                    <w:jc w:val="center"/>
                  </w:pPr>
                  <w:r>
                    <w:t xml:space="preserve">50°</w:t>
                  </w:r>
                </w:p>
              </w:tc>
              <w:tc>
                <w:tcPr/>
                <w:p>
                  <w:pPr>
                    <w:pStyle w:val="Compact"/>
                    <w:jc w:val="center"/>
                    <w:jc w:val="center"/>
                  </w:pPr>
                  <w:r>
                    <w:t xml:space="preserve">SBBV</w:t>
                  </w:r>
                </w:p>
              </w:tc>
              <w:tc>
                <w:tcPr/>
                <w:p>
                  <w:pPr>
                    <w:pStyle w:val="Compact"/>
                    <w:jc w:val="center"/>
                    <w:jc w:val="center"/>
                  </w:pPr>
                  <w:r>
                    <w:t xml:space="preserve">Boa Vista</w:t>
                  </w:r>
                </w:p>
              </w:tc>
              <w:tc>
                <w:tcPr/>
                <w:p>
                  <w:pPr>
                    <w:pStyle w:val="Compact"/>
                    <w:jc w:val="center"/>
                    <w:jc w:val="center"/>
                  </w:pPr>
                  <w:r>
                    <w:t xml:space="preserve">15549</w:t>
                  </w:r>
                </w:p>
              </w:tc>
              <w:tc>
                <w:tcPr/>
                <w:p>
                  <w:pPr>
                    <w:pStyle w:val="Compact"/>
                    <w:jc w:val="center"/>
                    <w:jc w:val="center"/>
                  </w:pPr>
                  <w:r>
                    <w:t xml:space="preserve">12818</w:t>
                  </w:r>
                </w:p>
              </w:tc>
              <w:tc>
                <w:tcPr/>
                <w:p>
                  <w:pPr>
                    <w:pStyle w:val="Compact"/>
                    <w:jc w:val="center"/>
                    <w:jc w:val="center"/>
                  </w:pPr>
                  <w:r>
                    <w:t xml:space="preserve">-2731</w:t>
                  </w:r>
                </w:p>
              </w:tc>
              <w:tc>
                <w:tcPr/>
                <w:p>
                  <w:pPr>
                    <w:pStyle w:val="Compact"/>
                    <w:jc w:val="center"/>
                    <w:jc w:val="center"/>
                  </w:pPr>
                  <w:r>
                    <w:t xml:space="preserve">-17.6%</w:t>
                  </w:r>
                </w:p>
              </w:tc>
            </w:tr>
            <w:tr>
              <w:tc>
                <w:tcPr/>
                <w:p>
                  <w:pPr>
                    <w:pStyle w:val="Compact"/>
                    <w:jc w:val="center"/>
                    <w:jc w:val="center"/>
                  </w:pPr>
                  <w:r>
                    <w:t xml:space="preserve">51°</w:t>
                  </w:r>
                </w:p>
              </w:tc>
              <w:tc>
                <w:tcPr/>
                <w:p>
                  <w:pPr>
                    <w:pStyle w:val="Compact"/>
                    <w:jc w:val="center"/>
                    <w:jc w:val="center"/>
                  </w:pPr>
                  <w:r>
                    <w:t xml:space="preserve">SBPJ</w:t>
                  </w:r>
                </w:p>
              </w:tc>
              <w:tc>
                <w:tcPr/>
                <w:p>
                  <w:pPr>
                    <w:pStyle w:val="Compact"/>
                    <w:jc w:val="center"/>
                    <w:jc w:val="center"/>
                  </w:pPr>
                  <w:r>
                    <w:t xml:space="preserve">Palmas</w:t>
                  </w:r>
                </w:p>
              </w:tc>
              <w:tc>
                <w:tcPr/>
                <w:p>
                  <w:pPr>
                    <w:pStyle w:val="Compact"/>
                    <w:jc w:val="center"/>
                    <w:jc w:val="center"/>
                  </w:pPr>
                  <w:r>
                    <w:t xml:space="preserve">10472</w:t>
                  </w:r>
                </w:p>
              </w:tc>
              <w:tc>
                <w:tcPr/>
                <w:p>
                  <w:pPr>
                    <w:pStyle w:val="Compact"/>
                    <w:jc w:val="center"/>
                    <w:jc w:val="center"/>
                  </w:pPr>
                  <w:r>
                    <w:t xml:space="preserve">12106</w:t>
                  </w:r>
                </w:p>
              </w:tc>
              <w:tc>
                <w:tcPr/>
                <w:p>
                  <w:pPr>
                    <w:pStyle w:val="Compact"/>
                    <w:jc w:val="center"/>
                    <w:jc w:val="center"/>
                  </w:pPr>
                  <w:r>
                    <w:t xml:space="preserve">1634</w:t>
                  </w:r>
                </w:p>
              </w:tc>
              <w:tc>
                <w:tcPr/>
                <w:p>
                  <w:pPr>
                    <w:pStyle w:val="Compact"/>
                    <w:jc w:val="center"/>
                    <w:jc w:val="center"/>
                  </w:pPr>
                  <w:r>
                    <w:t xml:space="preserve">15.6%</w:t>
                  </w:r>
                </w:p>
              </w:tc>
            </w:tr>
            <w:tr>
              <w:tc>
                <w:tcPr/>
                <w:p>
                  <w:pPr>
                    <w:pStyle w:val="Compact"/>
                    <w:jc w:val="center"/>
                    <w:jc w:val="center"/>
                  </w:pPr>
                  <w:r>
                    <w:t xml:space="preserve">52°</w:t>
                  </w:r>
                </w:p>
              </w:tc>
              <w:tc>
                <w:tcPr/>
                <w:p>
                  <w:pPr>
                    <w:pStyle w:val="Compact"/>
                    <w:jc w:val="center"/>
                    <w:jc w:val="center"/>
                  </w:pPr>
                  <w:r>
                    <w:t xml:space="preserve">SBBP</w:t>
                  </w:r>
                </w:p>
              </w:tc>
              <w:tc>
                <w:tcPr/>
                <w:p>
                  <w:pPr>
                    <w:pStyle w:val="Compact"/>
                    <w:jc w:val="center"/>
                    <w:jc w:val="center"/>
                  </w:pPr>
                  <w:r>
                    <w:t xml:space="preserve">Bragança Paulista</w:t>
                  </w:r>
                </w:p>
              </w:tc>
              <w:tc>
                <w:tcPr/>
                <w:p>
                  <w:pPr>
                    <w:pStyle w:val="Compact"/>
                    <w:jc w:val="center"/>
                    <w:jc w:val="center"/>
                  </w:pPr>
                  <w:r>
                    <w:t xml:space="preserve">11319</w:t>
                  </w:r>
                </w:p>
              </w:tc>
              <w:tc>
                <w:tcPr/>
                <w:p>
                  <w:pPr>
                    <w:pStyle w:val="Compact"/>
                    <w:jc w:val="center"/>
                    <w:jc w:val="center"/>
                  </w:pPr>
                  <w:r>
                    <w:t xml:space="preserve">11384</w:t>
                  </w:r>
                </w:p>
              </w:tc>
              <w:tc>
                <w:tcPr/>
                <w:p>
                  <w:pPr>
                    <w:pStyle w:val="Compact"/>
                    <w:jc w:val="center"/>
                    <w:jc w:val="center"/>
                  </w:pPr>
                  <w:r>
                    <w:t xml:space="preserve">65</w:t>
                  </w:r>
                </w:p>
              </w:tc>
              <w:tc>
                <w:tcPr/>
                <w:p>
                  <w:pPr>
                    <w:pStyle w:val="Compact"/>
                    <w:jc w:val="center"/>
                    <w:jc w:val="center"/>
                  </w:pPr>
                  <w:r>
                    <w:t xml:space="preserve">0.6%</w:t>
                  </w:r>
                </w:p>
              </w:tc>
            </w:tr>
            <w:tr>
              <w:tc>
                <w:tcPr/>
                <w:p>
                  <w:pPr>
                    <w:pStyle w:val="Compact"/>
                    <w:jc w:val="center"/>
                    <w:jc w:val="center"/>
                  </w:pPr>
                  <w:r>
                    <w:t xml:space="preserve">53°</w:t>
                  </w:r>
                </w:p>
              </w:tc>
              <w:tc>
                <w:tcPr/>
                <w:p>
                  <w:pPr>
                    <w:pStyle w:val="Compact"/>
                    <w:jc w:val="center"/>
                    <w:jc w:val="center"/>
                  </w:pPr>
                  <w:r>
                    <w:t xml:space="preserve">SBTE</w:t>
                  </w:r>
                </w:p>
              </w:tc>
              <w:tc>
                <w:tcPr/>
                <w:p>
                  <w:pPr>
                    <w:pStyle w:val="Compact"/>
                    <w:jc w:val="center"/>
                    <w:jc w:val="center"/>
                  </w:pPr>
                  <w:r>
                    <w:t xml:space="preserve">Teresina</w:t>
                  </w:r>
                </w:p>
              </w:tc>
              <w:tc>
                <w:tcPr/>
                <w:p>
                  <w:pPr>
                    <w:pStyle w:val="Compact"/>
                    <w:jc w:val="center"/>
                    <w:jc w:val="center"/>
                  </w:pPr>
                  <w:r>
                    <w:t xml:space="preserve">11779</w:t>
                  </w:r>
                </w:p>
              </w:tc>
              <w:tc>
                <w:tcPr/>
                <w:p>
                  <w:pPr>
                    <w:pStyle w:val="Compact"/>
                    <w:jc w:val="center"/>
                    <w:jc w:val="center"/>
                  </w:pPr>
                  <w:r>
                    <w:t xml:space="preserve">11205</w:t>
                  </w:r>
                </w:p>
              </w:tc>
              <w:tc>
                <w:tcPr/>
                <w:p>
                  <w:pPr>
                    <w:pStyle w:val="Compact"/>
                    <w:jc w:val="center"/>
                    <w:jc w:val="center"/>
                  </w:pPr>
                  <w:r>
                    <w:t xml:space="preserve">-574</w:t>
                  </w:r>
                </w:p>
              </w:tc>
              <w:tc>
                <w:tcPr/>
                <w:p>
                  <w:pPr>
                    <w:pStyle w:val="Compact"/>
                    <w:jc w:val="center"/>
                    <w:jc w:val="center"/>
                  </w:pPr>
                  <w:r>
                    <w:t xml:space="preserve">-4.9%</w:t>
                  </w:r>
                </w:p>
              </w:tc>
            </w:tr>
            <w:tr>
              <w:tc>
                <w:tcPr/>
                <w:p>
                  <w:pPr>
                    <w:pStyle w:val="Compact"/>
                    <w:jc w:val="center"/>
                    <w:jc w:val="center"/>
                  </w:pPr>
                  <w:r>
                    <w:t xml:space="preserve">54°</w:t>
                  </w:r>
                </w:p>
              </w:tc>
              <w:tc>
                <w:tcPr/>
                <w:p>
                  <w:pPr>
                    <w:pStyle w:val="Compact"/>
                    <w:jc w:val="center"/>
                    <w:jc w:val="center"/>
                  </w:pPr>
                  <w:r>
                    <w:t xml:space="preserve">SBPV</w:t>
                  </w:r>
                </w:p>
              </w:tc>
              <w:tc>
                <w:tcPr/>
                <w:p>
                  <w:pPr>
                    <w:pStyle w:val="Compact"/>
                    <w:jc w:val="center"/>
                    <w:jc w:val="center"/>
                  </w:pPr>
                  <w:r>
                    <w:t xml:space="preserve">Porto Velho</w:t>
                  </w:r>
                </w:p>
              </w:tc>
              <w:tc>
                <w:tcPr/>
                <w:p>
                  <w:pPr>
                    <w:pStyle w:val="Compact"/>
                    <w:jc w:val="center"/>
                    <w:jc w:val="center"/>
                  </w:pPr>
                  <w:r>
                    <w:t xml:space="preserve">10334</w:t>
                  </w:r>
                </w:p>
              </w:tc>
              <w:tc>
                <w:tcPr/>
                <w:p>
                  <w:pPr>
                    <w:pStyle w:val="Compact"/>
                    <w:jc w:val="center"/>
                    <w:jc w:val="center"/>
                  </w:pPr>
                  <w:r>
                    <w:t xml:space="preserve">10777</w:t>
                  </w:r>
                </w:p>
              </w:tc>
              <w:tc>
                <w:tcPr/>
                <w:p>
                  <w:pPr>
                    <w:pStyle w:val="Compact"/>
                    <w:jc w:val="center"/>
                    <w:jc w:val="center"/>
                  </w:pPr>
                  <w:r>
                    <w:t xml:space="preserve">443</w:t>
                  </w:r>
                </w:p>
              </w:tc>
              <w:tc>
                <w:tcPr/>
                <w:p>
                  <w:pPr>
                    <w:pStyle w:val="Compact"/>
                    <w:jc w:val="center"/>
                    <w:jc w:val="center"/>
                  </w:pPr>
                  <w:r>
                    <w:t xml:space="preserve">4.3%</w:t>
                  </w:r>
                </w:p>
              </w:tc>
            </w:tr>
            <w:tr>
              <w:tc>
                <w:tcPr/>
                <w:p>
                  <w:pPr>
                    <w:pStyle w:val="Compact"/>
                    <w:jc w:val="center"/>
                    <w:jc w:val="center"/>
                  </w:pPr>
                  <w:r>
                    <w:t xml:space="preserve">55°</w:t>
                  </w:r>
                </w:p>
              </w:tc>
              <w:tc>
                <w:tcPr/>
                <w:p>
                  <w:pPr>
                    <w:pStyle w:val="Compact"/>
                    <w:jc w:val="center"/>
                    <w:jc w:val="center"/>
                  </w:pPr>
                  <w:r>
                    <w:t xml:space="preserve">SBCH</w:t>
                  </w:r>
                </w:p>
              </w:tc>
              <w:tc>
                <w:tcPr/>
                <w:p>
                  <w:pPr>
                    <w:pStyle w:val="Compact"/>
                    <w:jc w:val="center"/>
                    <w:jc w:val="center"/>
                  </w:pPr>
                  <w:r>
                    <w:t xml:space="preserve">Chapecó</w:t>
                  </w:r>
                </w:p>
              </w:tc>
              <w:tc>
                <w:tcPr/>
                <w:p>
                  <w:pPr>
                    <w:pStyle w:val="Compact"/>
                    <w:jc w:val="center"/>
                    <w:jc w:val="center"/>
                  </w:pPr>
                  <w:r>
                    <w:t xml:space="preserve">9126</w:t>
                  </w:r>
                </w:p>
              </w:tc>
              <w:tc>
                <w:tcPr/>
                <w:p>
                  <w:pPr>
                    <w:pStyle w:val="Compact"/>
                    <w:jc w:val="center"/>
                    <w:jc w:val="center"/>
                  </w:pPr>
                  <w:r>
                    <w:t xml:space="preserve">10622</w:t>
                  </w:r>
                </w:p>
              </w:tc>
              <w:tc>
                <w:tcPr/>
                <w:p>
                  <w:pPr>
                    <w:pStyle w:val="Compact"/>
                    <w:jc w:val="center"/>
                    <w:jc w:val="center"/>
                  </w:pPr>
                  <w:r>
                    <w:t xml:space="preserve">1496</w:t>
                  </w:r>
                </w:p>
              </w:tc>
              <w:tc>
                <w:tcPr/>
                <w:p>
                  <w:pPr>
                    <w:pStyle w:val="Compact"/>
                    <w:jc w:val="center"/>
                    <w:jc w:val="center"/>
                  </w:pPr>
                  <w:r>
                    <w:t xml:space="preserve">16.4%</w:t>
                  </w:r>
                </w:p>
              </w:tc>
            </w:tr>
            <w:tr>
              <w:tc>
                <w:tcPr/>
                <w:p>
                  <w:pPr>
                    <w:pStyle w:val="Compact"/>
                    <w:jc w:val="center"/>
                    <w:jc w:val="center"/>
                  </w:pPr>
                  <w:r>
                    <w:t xml:space="preserve">56°</w:t>
                  </w:r>
                </w:p>
              </w:tc>
              <w:tc>
                <w:tcPr/>
                <w:p>
                  <w:pPr>
                    <w:pStyle w:val="Compact"/>
                    <w:jc w:val="center"/>
                    <w:jc w:val="center"/>
                  </w:pPr>
                  <w:r>
                    <w:t xml:space="preserve">SBMK</w:t>
                  </w:r>
                </w:p>
              </w:tc>
              <w:tc>
                <w:tcPr/>
                <w:p>
                  <w:pPr>
                    <w:pStyle w:val="Compact"/>
                    <w:jc w:val="center"/>
                    <w:jc w:val="center"/>
                  </w:pPr>
                  <w:r>
                    <w:t xml:space="preserve">Mário Ribeiro</w:t>
                  </w:r>
                </w:p>
              </w:tc>
              <w:tc>
                <w:tcPr/>
                <w:p>
                  <w:pPr>
                    <w:pStyle w:val="Compact"/>
                    <w:jc w:val="center"/>
                    <w:jc w:val="center"/>
                  </w:pPr>
                  <w:r>
                    <w:t xml:space="preserve">10186</w:t>
                  </w:r>
                </w:p>
              </w:tc>
              <w:tc>
                <w:tcPr/>
                <w:p>
                  <w:pPr>
                    <w:pStyle w:val="Compact"/>
                    <w:jc w:val="center"/>
                    <w:jc w:val="center"/>
                  </w:pPr>
                  <w:r>
                    <w:t xml:space="preserve">10490</w:t>
                  </w:r>
                </w:p>
              </w:tc>
              <w:tc>
                <w:tcPr/>
                <w:p>
                  <w:pPr>
                    <w:pStyle w:val="Compact"/>
                    <w:jc w:val="center"/>
                    <w:jc w:val="center"/>
                  </w:pPr>
                  <w:r>
                    <w:t xml:space="preserve">304</w:t>
                  </w:r>
                </w:p>
              </w:tc>
              <w:tc>
                <w:tcPr/>
                <w:p>
                  <w:pPr>
                    <w:pStyle w:val="Compact"/>
                    <w:jc w:val="center"/>
                    <w:jc w:val="center"/>
                  </w:pPr>
                  <w:r>
                    <w:t xml:space="preserve">3%</w:t>
                  </w:r>
                </w:p>
              </w:tc>
            </w:tr>
            <w:tr>
              <w:tc>
                <w:tcPr/>
                <w:p>
                  <w:pPr>
                    <w:pStyle w:val="Compact"/>
                    <w:jc w:val="center"/>
                    <w:jc w:val="center"/>
                  </w:pPr>
                  <w:r>
                    <w:t xml:space="preserve">57°</w:t>
                  </w:r>
                </w:p>
              </w:tc>
              <w:tc>
                <w:tcPr/>
                <w:p>
                  <w:pPr>
                    <w:pStyle w:val="Compact"/>
                    <w:jc w:val="center"/>
                    <w:jc w:val="center"/>
                  </w:pPr>
                  <w:r>
                    <w:t xml:space="preserve">SBCA</w:t>
                  </w:r>
                </w:p>
              </w:tc>
              <w:tc>
                <w:tcPr/>
                <w:p>
                  <w:pPr>
                    <w:pStyle w:val="Compact"/>
                    <w:jc w:val="center"/>
                    <w:jc w:val="center"/>
                  </w:pPr>
                  <w:r>
                    <w:t xml:space="preserve">Cascavel</w:t>
                  </w:r>
                </w:p>
              </w:tc>
              <w:tc>
                <w:tcPr/>
                <w:p>
                  <w:pPr>
                    <w:pStyle w:val="Compact"/>
                    <w:jc w:val="center"/>
                    <w:jc w:val="center"/>
                  </w:pPr>
                  <w:r>
                    <w:t xml:space="preserve">10862</w:t>
                  </w:r>
                </w:p>
              </w:tc>
              <w:tc>
                <w:tcPr/>
                <w:p>
                  <w:pPr>
                    <w:pStyle w:val="Compact"/>
                    <w:jc w:val="center"/>
                    <w:jc w:val="center"/>
                  </w:pPr>
                  <w:r>
                    <w:t xml:space="preserve">10040</w:t>
                  </w:r>
                </w:p>
              </w:tc>
              <w:tc>
                <w:tcPr/>
                <w:p>
                  <w:pPr>
                    <w:pStyle w:val="Compact"/>
                    <w:jc w:val="center"/>
                    <w:jc w:val="center"/>
                  </w:pPr>
                  <w:r>
                    <w:t xml:space="preserve">-822</w:t>
                  </w:r>
                </w:p>
              </w:tc>
              <w:tc>
                <w:tcPr/>
                <w:p>
                  <w:pPr>
                    <w:pStyle w:val="Compact"/>
                    <w:jc w:val="center"/>
                    <w:jc w:val="center"/>
                  </w:pPr>
                  <w:r>
                    <w:t xml:space="preserve">-7.6%</w:t>
                  </w:r>
                </w:p>
              </w:tc>
            </w:tr>
            <w:tr>
              <w:tc>
                <w:tcPr/>
                <w:p>
                  <w:pPr>
                    <w:pStyle w:val="Compact"/>
                    <w:jc w:val="center"/>
                    <w:jc w:val="center"/>
                  </w:pPr>
                  <w:r>
                    <w:t xml:space="preserve">58°</w:t>
                  </w:r>
                </w:p>
              </w:tc>
              <w:tc>
                <w:tcPr/>
                <w:p>
                  <w:pPr>
                    <w:pStyle w:val="Compact"/>
                    <w:jc w:val="center"/>
                    <w:jc w:val="center"/>
                  </w:pPr>
                  <w:r>
                    <w:t xml:space="preserve">SBMQ</w:t>
                  </w:r>
                </w:p>
              </w:tc>
              <w:tc>
                <w:tcPr/>
                <w:p>
                  <w:pPr>
                    <w:pStyle w:val="Compact"/>
                    <w:jc w:val="center"/>
                    <w:jc w:val="center"/>
                  </w:pPr>
                  <w:r>
                    <w:t xml:space="preserve">Alberto Alcolumbre</w:t>
                  </w:r>
                </w:p>
              </w:tc>
              <w:tc>
                <w:tcPr/>
                <w:p>
                  <w:pPr>
                    <w:pStyle w:val="Compact"/>
                    <w:jc w:val="center"/>
                    <w:jc w:val="center"/>
                  </w:pPr>
                  <w:r>
                    <w:t xml:space="preserve">9917</w:t>
                  </w:r>
                </w:p>
              </w:tc>
              <w:tc>
                <w:tcPr/>
                <w:p>
                  <w:pPr>
                    <w:pStyle w:val="Compact"/>
                    <w:jc w:val="center"/>
                    <w:jc w:val="center"/>
                  </w:pPr>
                  <w:r>
                    <w:t xml:space="preserve">9888</w:t>
                  </w:r>
                </w:p>
              </w:tc>
              <w:tc>
                <w:tcPr/>
                <w:p>
                  <w:pPr>
                    <w:pStyle w:val="Compact"/>
                    <w:jc w:val="center"/>
                    <w:jc w:val="center"/>
                  </w:pPr>
                  <w:r>
                    <w:t xml:space="preserve">-29</w:t>
                  </w:r>
                </w:p>
              </w:tc>
              <w:tc>
                <w:tcPr/>
                <w:p>
                  <w:pPr>
                    <w:pStyle w:val="Compact"/>
                    <w:jc w:val="center"/>
                    <w:jc w:val="center"/>
                  </w:pPr>
                  <w:r>
                    <w:t xml:space="preserve">-0.3%</w:t>
                  </w:r>
                </w:p>
              </w:tc>
            </w:tr>
            <w:tr>
              <w:tc>
                <w:tcPr/>
                <w:p>
                  <w:pPr>
                    <w:pStyle w:val="Compact"/>
                    <w:jc w:val="center"/>
                    <w:jc w:val="center"/>
                  </w:pPr>
                  <w:r>
                    <w:t xml:space="preserve">59°</w:t>
                  </w:r>
                </w:p>
              </w:tc>
              <w:tc>
                <w:tcPr/>
                <w:p>
                  <w:pPr>
                    <w:pStyle w:val="Compact"/>
                    <w:jc w:val="center"/>
                    <w:jc w:val="center"/>
                  </w:pPr>
                  <w:r>
                    <w:t xml:space="preserve">SBSN</w:t>
                  </w:r>
                </w:p>
              </w:tc>
              <w:tc>
                <w:tcPr/>
                <w:p>
                  <w:pPr>
                    <w:pStyle w:val="Compact"/>
                    <w:jc w:val="center"/>
                    <w:jc w:val="center"/>
                  </w:pPr>
                  <w:r>
                    <w:t xml:space="preserve">Santarém</w:t>
                  </w:r>
                </w:p>
              </w:tc>
              <w:tc>
                <w:tcPr/>
                <w:p>
                  <w:pPr>
                    <w:pStyle w:val="Compact"/>
                    <w:jc w:val="center"/>
                    <w:jc w:val="center"/>
                  </w:pPr>
                  <w:r>
                    <w:t xml:space="preserve">13735</w:t>
                  </w:r>
                </w:p>
              </w:tc>
              <w:tc>
                <w:tcPr/>
                <w:p>
                  <w:pPr>
                    <w:pStyle w:val="Compact"/>
                    <w:jc w:val="center"/>
                    <w:jc w:val="center"/>
                  </w:pPr>
                  <w:r>
                    <w:t xml:space="preserve">9671</w:t>
                  </w:r>
                </w:p>
              </w:tc>
              <w:tc>
                <w:tcPr/>
                <w:p>
                  <w:pPr>
                    <w:pStyle w:val="Compact"/>
                    <w:jc w:val="center"/>
                    <w:jc w:val="center"/>
                  </w:pPr>
                  <w:r>
                    <w:t xml:space="preserve">-4064</w:t>
                  </w:r>
                </w:p>
              </w:tc>
              <w:tc>
                <w:tcPr/>
                <w:p>
                  <w:pPr>
                    <w:pStyle w:val="Compact"/>
                    <w:jc w:val="center"/>
                    <w:jc w:val="center"/>
                  </w:pPr>
                  <w:r>
                    <w:t xml:space="preserve">-29.6%</w:t>
                  </w:r>
                </w:p>
              </w:tc>
            </w:tr>
            <w:tr>
              <w:tc>
                <w:tcPr/>
                <w:p>
                  <w:pPr>
                    <w:pStyle w:val="Compact"/>
                    <w:jc w:val="center"/>
                    <w:jc w:val="center"/>
                  </w:pPr>
                  <w:r>
                    <w:t xml:space="preserve">60°</w:t>
                  </w:r>
                </w:p>
              </w:tc>
              <w:tc>
                <w:tcPr/>
                <w:p>
                  <w:pPr>
                    <w:pStyle w:val="Compact"/>
                    <w:jc w:val="center"/>
                    <w:jc w:val="center"/>
                  </w:pPr>
                  <w:r>
                    <w:t xml:space="preserve">SBSI</w:t>
                  </w:r>
                </w:p>
              </w:tc>
              <w:tc>
                <w:tcPr/>
                <w:p>
                  <w:pPr>
                    <w:pStyle w:val="Compact"/>
                    <w:jc w:val="center"/>
                    <w:jc w:val="center"/>
                  </w:pPr>
                  <w:r>
                    <w:t xml:space="preserve">Presidente João Batista Figueiredo</w:t>
                  </w:r>
                </w:p>
              </w:tc>
              <w:tc>
                <w:tcPr/>
                <w:p>
                  <w:pPr>
                    <w:pStyle w:val="Compact"/>
                    <w:jc w:val="center"/>
                    <w:jc w:val="center"/>
                  </w:pPr>
                  <w:r>
                    <w:t xml:space="preserve">6959</w:t>
                  </w:r>
                </w:p>
              </w:tc>
              <w:tc>
                <w:tcPr/>
                <w:p>
                  <w:pPr>
                    <w:pStyle w:val="Compact"/>
                    <w:jc w:val="center"/>
                    <w:jc w:val="center"/>
                  </w:pPr>
                  <w:r>
                    <w:t xml:space="preserve">9311</w:t>
                  </w:r>
                </w:p>
              </w:tc>
              <w:tc>
                <w:tcPr/>
                <w:p>
                  <w:pPr>
                    <w:pStyle w:val="Compact"/>
                    <w:jc w:val="center"/>
                    <w:jc w:val="center"/>
                  </w:pPr>
                  <w:r>
                    <w:t xml:space="preserve">2352</w:t>
                  </w:r>
                </w:p>
              </w:tc>
              <w:tc>
                <w:tcPr/>
                <w:p>
                  <w:pPr>
                    <w:pStyle w:val="Compact"/>
                    <w:jc w:val="center"/>
                    <w:jc w:val="center"/>
                  </w:pPr>
                  <w:r>
                    <w:t xml:space="preserve">33.8%</w:t>
                  </w:r>
                </w:p>
              </w:tc>
            </w:tr>
            <w:tr>
              <w:tc>
                <w:tcPr/>
                <w:p>
                  <w:pPr>
                    <w:pStyle w:val="Compact"/>
                    <w:jc w:val="center"/>
                    <w:jc w:val="center"/>
                  </w:pPr>
                  <w:r>
                    <w:t xml:space="preserve">61°</w:t>
                  </w:r>
                </w:p>
              </w:tc>
              <w:tc>
                <w:tcPr/>
                <w:p>
                  <w:pPr>
                    <w:pStyle w:val="Compact"/>
                    <w:jc w:val="center"/>
                    <w:jc w:val="center"/>
                  </w:pPr>
                  <w:r>
                    <w:t xml:space="preserve">SBBU</w:t>
                  </w:r>
                </w:p>
              </w:tc>
              <w:tc>
                <w:tcPr/>
                <w:p>
                  <w:pPr>
                    <w:pStyle w:val="Compact"/>
                    <w:jc w:val="center"/>
                    <w:jc w:val="center"/>
                  </w:pPr>
                  <w:r>
                    <w:t xml:space="preserve">Bauru</w:t>
                  </w:r>
                </w:p>
              </w:tc>
              <w:tc>
                <w:tcPr/>
                <w:p>
                  <w:pPr>
                    <w:pStyle w:val="Compact"/>
                    <w:jc w:val="center"/>
                    <w:jc w:val="center"/>
                  </w:pPr>
                  <w:r>
                    <w:t xml:space="preserve">8646</w:t>
                  </w:r>
                </w:p>
              </w:tc>
              <w:tc>
                <w:tcPr/>
                <w:p>
                  <w:pPr>
                    <w:pStyle w:val="Compact"/>
                    <w:jc w:val="center"/>
                    <w:jc w:val="center"/>
                  </w:pPr>
                  <w:r>
                    <w:t xml:space="preserve">9187</w:t>
                  </w:r>
                </w:p>
              </w:tc>
              <w:tc>
                <w:tcPr/>
                <w:p>
                  <w:pPr>
                    <w:pStyle w:val="Compact"/>
                    <w:jc w:val="center"/>
                    <w:jc w:val="center"/>
                  </w:pPr>
                  <w:r>
                    <w:t xml:space="preserve">541</w:t>
                  </w:r>
                </w:p>
              </w:tc>
              <w:tc>
                <w:tcPr/>
                <w:p>
                  <w:pPr>
                    <w:pStyle w:val="Compact"/>
                    <w:jc w:val="center"/>
                    <w:jc w:val="center"/>
                  </w:pPr>
                  <w:r>
                    <w:t xml:space="preserve">6.3%</w:t>
                  </w:r>
                </w:p>
              </w:tc>
            </w:tr>
            <w:tr>
              <w:tc>
                <w:tcPr/>
                <w:p>
                  <w:pPr>
                    <w:pStyle w:val="Compact"/>
                    <w:jc w:val="center"/>
                    <w:jc w:val="center"/>
                  </w:pPr>
                  <w:r>
                    <w:t xml:space="preserve">62°</w:t>
                  </w:r>
                </w:p>
              </w:tc>
              <w:tc>
                <w:tcPr/>
                <w:p>
                  <w:pPr>
                    <w:pStyle w:val="Compact"/>
                    <w:jc w:val="center"/>
                    <w:jc w:val="center"/>
                  </w:pPr>
                  <w:r>
                    <w:t xml:space="preserve">SBDN</w:t>
                  </w:r>
                </w:p>
              </w:tc>
              <w:tc>
                <w:tcPr/>
                <w:p>
                  <w:pPr>
                    <w:pStyle w:val="Compact"/>
                    <w:jc w:val="center"/>
                    <w:jc w:val="center"/>
                  </w:pPr>
                  <w:r>
                    <w:t xml:space="preserve">Presidente Prudente</w:t>
                  </w:r>
                </w:p>
              </w:tc>
              <w:tc>
                <w:tcPr/>
                <w:p>
                  <w:pPr>
                    <w:pStyle w:val="Compact"/>
                    <w:jc w:val="center"/>
                    <w:jc w:val="center"/>
                  </w:pPr>
                  <w:r>
                    <w:t xml:space="preserve">10142</w:t>
                  </w:r>
                </w:p>
              </w:tc>
              <w:tc>
                <w:tcPr/>
                <w:p>
                  <w:pPr>
                    <w:pStyle w:val="Compact"/>
                    <w:jc w:val="center"/>
                    <w:jc w:val="center"/>
                  </w:pPr>
                  <w:r>
                    <w:t xml:space="preserve">8752</w:t>
                  </w:r>
                </w:p>
              </w:tc>
              <w:tc>
                <w:tcPr/>
                <w:p>
                  <w:pPr>
                    <w:pStyle w:val="Compact"/>
                    <w:jc w:val="center"/>
                    <w:jc w:val="center"/>
                  </w:pPr>
                  <w:r>
                    <w:t xml:space="preserve">-1390</w:t>
                  </w:r>
                </w:p>
              </w:tc>
              <w:tc>
                <w:tcPr/>
                <w:p>
                  <w:pPr>
                    <w:pStyle w:val="Compact"/>
                    <w:jc w:val="center"/>
                    <w:jc w:val="center"/>
                  </w:pPr>
                  <w:r>
                    <w:t xml:space="preserve">-13.7%</w:t>
                  </w:r>
                </w:p>
              </w:tc>
            </w:tr>
            <w:tr>
              <w:tc>
                <w:tcPr/>
                <w:p>
                  <w:pPr>
                    <w:pStyle w:val="Compact"/>
                    <w:jc w:val="center"/>
                    <w:jc w:val="center"/>
                  </w:pPr>
                  <w:r>
                    <w:t xml:space="preserve">63°</w:t>
                  </w:r>
                </w:p>
              </w:tc>
              <w:tc>
                <w:tcPr/>
                <w:p>
                  <w:pPr>
                    <w:pStyle w:val="Compact"/>
                    <w:jc w:val="center"/>
                    <w:jc w:val="center"/>
                  </w:pPr>
                  <w:r>
                    <w:t xml:space="preserve">SBRB</w:t>
                  </w:r>
                </w:p>
              </w:tc>
              <w:tc>
                <w:tcPr/>
                <w:p>
                  <w:pPr>
                    <w:pStyle w:val="Compact"/>
                    <w:jc w:val="center"/>
                    <w:jc w:val="center"/>
                  </w:pPr>
                  <w:r>
                    <w:t xml:space="preserve">Rio Branco</w:t>
                  </w:r>
                </w:p>
              </w:tc>
              <w:tc>
                <w:tcPr/>
                <w:p>
                  <w:pPr>
                    <w:pStyle w:val="Compact"/>
                    <w:jc w:val="center"/>
                    <w:jc w:val="center"/>
                  </w:pPr>
                  <w:r>
                    <w:t xml:space="preserve">6896</w:t>
                  </w:r>
                </w:p>
              </w:tc>
              <w:tc>
                <w:tcPr/>
                <w:p>
                  <w:pPr>
                    <w:pStyle w:val="Compact"/>
                    <w:jc w:val="center"/>
                    <w:jc w:val="center"/>
                  </w:pPr>
                  <w:r>
                    <w:t xml:space="preserve">7951</w:t>
                  </w:r>
                </w:p>
              </w:tc>
              <w:tc>
                <w:tcPr/>
                <w:p>
                  <w:pPr>
                    <w:pStyle w:val="Compact"/>
                    <w:jc w:val="center"/>
                    <w:jc w:val="center"/>
                  </w:pPr>
                  <w:r>
                    <w:t xml:space="preserve">1055</w:t>
                  </w:r>
                </w:p>
              </w:tc>
              <w:tc>
                <w:tcPr/>
                <w:p>
                  <w:pPr>
                    <w:pStyle w:val="Compact"/>
                    <w:jc w:val="center"/>
                    <w:jc w:val="center"/>
                  </w:pPr>
                  <w:r>
                    <w:t xml:space="preserve">15.3%</w:t>
                  </w:r>
                </w:p>
              </w:tc>
            </w:tr>
            <w:tr>
              <w:tc>
                <w:tcPr/>
                <w:p>
                  <w:pPr>
                    <w:pStyle w:val="Compact"/>
                    <w:jc w:val="center"/>
                    <w:jc w:val="center"/>
                  </w:pPr>
                  <w:r>
                    <w:t xml:space="preserve">64°</w:t>
                  </w:r>
                </w:p>
              </w:tc>
              <w:tc>
                <w:tcPr/>
                <w:p>
                  <w:pPr>
                    <w:pStyle w:val="Compact"/>
                    <w:jc w:val="center"/>
                    <w:jc w:val="center"/>
                  </w:pPr>
                  <w:r>
                    <w:t xml:space="preserve">SBIL</w:t>
                  </w:r>
                </w:p>
              </w:tc>
              <w:tc>
                <w:tcPr/>
                <w:p>
                  <w:pPr>
                    <w:pStyle w:val="Compact"/>
                    <w:jc w:val="center"/>
                    <w:jc w:val="center"/>
                  </w:pPr>
                  <w:r>
                    <w:t xml:space="preserve">Ilhéus</w:t>
                  </w:r>
                </w:p>
              </w:tc>
              <w:tc>
                <w:tcPr/>
                <w:p>
                  <w:pPr>
                    <w:pStyle w:val="Compact"/>
                    <w:jc w:val="center"/>
                    <w:jc w:val="center"/>
                  </w:pPr>
                  <w:r>
                    <w:t xml:space="preserve">8577</w:t>
                  </w:r>
                </w:p>
              </w:tc>
              <w:tc>
                <w:tcPr/>
                <w:p>
                  <w:pPr>
                    <w:pStyle w:val="Compact"/>
                    <w:jc w:val="center"/>
                    <w:jc w:val="center"/>
                  </w:pPr>
                  <w:r>
                    <w:t xml:space="preserve">7823</w:t>
                  </w:r>
                </w:p>
              </w:tc>
              <w:tc>
                <w:tcPr/>
                <w:p>
                  <w:pPr>
                    <w:pStyle w:val="Compact"/>
                    <w:jc w:val="center"/>
                    <w:jc w:val="center"/>
                  </w:pPr>
                  <w:r>
                    <w:t xml:space="preserve">-754</w:t>
                  </w:r>
                </w:p>
              </w:tc>
              <w:tc>
                <w:tcPr/>
                <w:p>
                  <w:pPr>
                    <w:pStyle w:val="Compact"/>
                    <w:jc w:val="center"/>
                    <w:jc w:val="center"/>
                  </w:pPr>
                  <w:r>
                    <w:t xml:space="preserve">-8.8%</w:t>
                  </w:r>
                </w:p>
              </w:tc>
            </w:tr>
            <w:tr>
              <w:tc>
                <w:tcPr/>
                <w:p>
                  <w:pPr>
                    <w:pStyle w:val="Compact"/>
                    <w:jc w:val="center"/>
                    <w:jc w:val="center"/>
                  </w:pPr>
                  <w:r>
                    <w:t xml:space="preserve">65°</w:t>
                  </w:r>
                </w:p>
              </w:tc>
              <w:tc>
                <w:tcPr/>
                <w:p>
                  <w:pPr>
                    <w:pStyle w:val="Compact"/>
                    <w:jc w:val="center"/>
                    <w:jc w:val="center"/>
                  </w:pPr>
                  <w:r>
                    <w:t xml:space="preserve">SDAG</w:t>
                  </w:r>
                </w:p>
              </w:tc>
              <w:tc>
                <w:tcPr/>
                <w:p>
                  <w:pPr>
                    <w:pStyle w:val="Compact"/>
                    <w:jc w:val="center"/>
                    <w:jc w:val="center"/>
                  </w:pPr>
                  <w:r>
                    <w:t xml:space="preserve">Angra dos Reis</w:t>
                  </w:r>
                </w:p>
              </w:tc>
              <w:tc>
                <w:tcPr/>
                <w:p>
                  <w:pPr>
                    <w:pStyle w:val="Compact"/>
                    <w:jc w:val="center"/>
                    <w:jc w:val="center"/>
                  </w:pPr>
                  <w:r>
                    <w:t xml:space="preserve">5915</w:t>
                  </w:r>
                </w:p>
              </w:tc>
              <w:tc>
                <w:tcPr/>
                <w:p>
                  <w:pPr>
                    <w:pStyle w:val="Compact"/>
                    <w:jc w:val="center"/>
                    <w:jc w:val="center"/>
                  </w:pPr>
                  <w:r>
                    <w:t xml:space="preserve">7501</w:t>
                  </w:r>
                </w:p>
              </w:tc>
              <w:tc>
                <w:tcPr/>
                <w:p>
                  <w:pPr>
                    <w:pStyle w:val="Compact"/>
                    <w:jc w:val="center"/>
                    <w:jc w:val="center"/>
                  </w:pPr>
                  <w:r>
                    <w:t xml:space="preserve">1586</w:t>
                  </w:r>
                </w:p>
              </w:tc>
              <w:tc>
                <w:tcPr/>
                <w:p>
                  <w:pPr>
                    <w:pStyle w:val="Compact"/>
                    <w:jc w:val="center"/>
                    <w:jc w:val="center"/>
                  </w:pPr>
                  <w:r>
                    <w:t xml:space="preserve">26.8%</w:t>
                  </w:r>
                </w:p>
              </w:tc>
            </w:tr>
            <w:tr>
              <w:tc>
                <w:tcPr/>
                <w:p>
                  <w:pPr>
                    <w:pStyle w:val="Compact"/>
                    <w:jc w:val="center"/>
                    <w:jc w:val="center"/>
                  </w:pPr>
                  <w:r>
                    <w:t xml:space="preserve">66°</w:t>
                  </w:r>
                </w:p>
              </w:tc>
              <w:tc>
                <w:tcPr/>
                <w:p>
                  <w:pPr>
                    <w:pStyle w:val="Compact"/>
                    <w:jc w:val="center"/>
                    <w:jc w:val="center"/>
                  </w:pPr>
                  <w:r>
                    <w:t xml:space="preserve">SBJV</w:t>
                  </w:r>
                </w:p>
              </w:tc>
              <w:tc>
                <w:tcPr/>
                <w:p>
                  <w:pPr>
                    <w:pStyle w:val="Compact"/>
                    <w:jc w:val="center"/>
                    <w:jc w:val="center"/>
                  </w:pPr>
                  <w:r>
                    <w:t xml:space="preserve">Joinville</w:t>
                  </w:r>
                </w:p>
              </w:tc>
              <w:tc>
                <w:tcPr/>
                <w:p>
                  <w:pPr>
                    <w:pStyle w:val="Compact"/>
                    <w:jc w:val="center"/>
                    <w:jc w:val="center"/>
                  </w:pPr>
                  <w:r>
                    <w:t xml:space="preserve">8188</w:t>
                  </w:r>
                </w:p>
              </w:tc>
              <w:tc>
                <w:tcPr/>
                <w:p>
                  <w:pPr>
                    <w:pStyle w:val="Compact"/>
                    <w:jc w:val="center"/>
                    <w:jc w:val="center"/>
                  </w:pPr>
                  <w:r>
                    <w:t xml:space="preserve">7399</w:t>
                  </w:r>
                </w:p>
              </w:tc>
              <w:tc>
                <w:tcPr/>
                <w:p>
                  <w:pPr>
                    <w:pStyle w:val="Compact"/>
                    <w:jc w:val="center"/>
                    <w:jc w:val="center"/>
                  </w:pPr>
                  <w:r>
                    <w:t xml:space="preserve">-789</w:t>
                  </w:r>
                </w:p>
              </w:tc>
              <w:tc>
                <w:tcPr/>
                <w:p>
                  <w:pPr>
                    <w:pStyle w:val="Compact"/>
                    <w:jc w:val="center"/>
                    <w:jc w:val="center"/>
                  </w:pPr>
                  <w:r>
                    <w:t xml:space="preserve">-9.6%</w:t>
                  </w:r>
                </w:p>
              </w:tc>
            </w:tr>
            <w:tr>
              <w:tc>
                <w:tcPr/>
                <w:p>
                  <w:pPr>
                    <w:pStyle w:val="Compact"/>
                    <w:jc w:val="center"/>
                    <w:jc w:val="center"/>
                  </w:pPr>
                  <w:r>
                    <w:t xml:space="preserve">67°</w:t>
                  </w:r>
                </w:p>
              </w:tc>
              <w:tc>
                <w:tcPr/>
                <w:p>
                  <w:pPr>
                    <w:pStyle w:val="Compact"/>
                    <w:jc w:val="center"/>
                    <w:jc w:val="center"/>
                  </w:pPr>
                  <w:r>
                    <w:t xml:space="preserve">SBIH</w:t>
                  </w:r>
                </w:p>
              </w:tc>
              <w:tc>
                <w:tcPr/>
                <w:p>
                  <w:pPr>
                    <w:pStyle w:val="Compact"/>
                    <w:jc w:val="center"/>
                    <w:jc w:val="center"/>
                  </w:pPr>
                  <w:r>
                    <w:t xml:space="preserve">Itaituba</w:t>
                  </w:r>
                </w:p>
              </w:tc>
              <w:tc>
                <w:tcPr/>
                <w:p>
                  <w:pPr>
                    <w:pStyle w:val="Compact"/>
                    <w:jc w:val="center"/>
                    <w:jc w:val="center"/>
                  </w:pPr>
                  <w:r>
                    <w:t xml:space="preserve">7238</w:t>
                  </w:r>
                </w:p>
              </w:tc>
              <w:tc>
                <w:tcPr/>
                <w:p>
                  <w:pPr>
                    <w:pStyle w:val="Compact"/>
                    <w:jc w:val="center"/>
                    <w:jc w:val="center"/>
                  </w:pPr>
                  <w:r>
                    <w:t xml:space="preserve">6898</w:t>
                  </w:r>
                </w:p>
              </w:tc>
              <w:tc>
                <w:tcPr/>
                <w:p>
                  <w:pPr>
                    <w:pStyle w:val="Compact"/>
                    <w:jc w:val="center"/>
                    <w:jc w:val="center"/>
                  </w:pPr>
                  <w:r>
                    <w:t xml:space="preserve">-340</w:t>
                  </w:r>
                </w:p>
              </w:tc>
              <w:tc>
                <w:tcPr/>
                <w:p>
                  <w:pPr>
                    <w:pStyle w:val="Compact"/>
                    <w:jc w:val="center"/>
                    <w:jc w:val="center"/>
                  </w:pPr>
                  <w:r>
                    <w:t xml:space="preserve">-4.7%</w:t>
                  </w:r>
                </w:p>
              </w:tc>
            </w:tr>
            <w:tr>
              <w:tc>
                <w:tcPr/>
                <w:p>
                  <w:pPr>
                    <w:pStyle w:val="Compact"/>
                    <w:jc w:val="center"/>
                    <w:jc w:val="center"/>
                  </w:pPr>
                  <w:r>
                    <w:t xml:space="preserve">68°</w:t>
                  </w:r>
                </w:p>
              </w:tc>
              <w:tc>
                <w:tcPr/>
                <w:p>
                  <w:pPr>
                    <w:pStyle w:val="Compact"/>
                    <w:jc w:val="center"/>
                    <w:jc w:val="center"/>
                  </w:pPr>
                  <w:r>
                    <w:t xml:space="preserve">SBJU</w:t>
                  </w:r>
                </w:p>
              </w:tc>
              <w:tc>
                <w:tcPr/>
                <w:p>
                  <w:pPr>
                    <w:pStyle w:val="Compact"/>
                    <w:jc w:val="center"/>
                    <w:jc w:val="center"/>
                  </w:pPr>
                  <w:r>
                    <w:t xml:space="preserve">Orlando Bezerra de Menezes</w:t>
                  </w:r>
                </w:p>
              </w:tc>
              <w:tc>
                <w:tcPr/>
                <w:p>
                  <w:pPr>
                    <w:pStyle w:val="Compact"/>
                    <w:jc w:val="center"/>
                    <w:jc w:val="center"/>
                  </w:pPr>
                  <w:r>
                    <w:t xml:space="preserve">7719</w:t>
                  </w:r>
                </w:p>
              </w:tc>
              <w:tc>
                <w:tcPr/>
                <w:p>
                  <w:pPr>
                    <w:pStyle w:val="Compact"/>
                    <w:jc w:val="center"/>
                    <w:jc w:val="center"/>
                  </w:pPr>
                  <w:r>
                    <w:t xml:space="preserve">6873</w:t>
                  </w:r>
                </w:p>
              </w:tc>
              <w:tc>
                <w:tcPr/>
                <w:p>
                  <w:pPr>
                    <w:pStyle w:val="Compact"/>
                    <w:jc w:val="center"/>
                    <w:jc w:val="center"/>
                  </w:pPr>
                  <w:r>
                    <w:t xml:space="preserve">-846</w:t>
                  </w:r>
                </w:p>
              </w:tc>
              <w:tc>
                <w:tcPr/>
                <w:p>
                  <w:pPr>
                    <w:pStyle w:val="Compact"/>
                    <w:jc w:val="center"/>
                    <w:jc w:val="center"/>
                  </w:pPr>
                  <w:r>
                    <w:t xml:space="preserve">-11%</w:t>
                  </w:r>
                </w:p>
              </w:tc>
            </w:tr>
            <w:tr>
              <w:tc>
                <w:tcPr/>
                <w:p>
                  <w:pPr>
                    <w:pStyle w:val="Compact"/>
                    <w:jc w:val="center"/>
                    <w:jc w:val="center"/>
                  </w:pPr>
                  <w:r>
                    <w:t xml:space="preserve">69°</w:t>
                  </w:r>
                </w:p>
              </w:tc>
              <w:tc>
                <w:tcPr/>
                <w:p>
                  <w:pPr>
                    <w:pStyle w:val="Compact"/>
                    <w:jc w:val="center"/>
                    <w:jc w:val="center"/>
                  </w:pPr>
                  <w:r>
                    <w:t xml:space="preserve">SBGV</w:t>
                  </w:r>
                </w:p>
              </w:tc>
              <w:tc>
                <w:tcPr/>
                <w:p>
                  <w:pPr>
                    <w:pStyle w:val="Compact"/>
                    <w:jc w:val="center"/>
                    <w:jc w:val="center"/>
                  </w:pPr>
                  <w:r>
                    <w:t xml:space="preserve">Governador Valadares</w:t>
                  </w:r>
                </w:p>
              </w:tc>
              <w:tc>
                <w:tcPr/>
                <w:p>
                  <w:pPr>
                    <w:pStyle w:val="Compact"/>
                    <w:jc w:val="center"/>
                    <w:jc w:val="center"/>
                  </w:pPr>
                  <w:r>
                    <w:t xml:space="preserve">6204</w:t>
                  </w:r>
                </w:p>
              </w:tc>
              <w:tc>
                <w:tcPr/>
                <w:p>
                  <w:pPr>
                    <w:pStyle w:val="Compact"/>
                    <w:jc w:val="center"/>
                    <w:jc w:val="center"/>
                  </w:pPr>
                  <w:r>
                    <w:t xml:space="preserve">6599</w:t>
                  </w:r>
                </w:p>
              </w:tc>
              <w:tc>
                <w:tcPr/>
                <w:p>
                  <w:pPr>
                    <w:pStyle w:val="Compact"/>
                    <w:jc w:val="center"/>
                    <w:jc w:val="center"/>
                  </w:pPr>
                  <w:r>
                    <w:t xml:space="preserve">395</w:t>
                  </w:r>
                </w:p>
              </w:tc>
              <w:tc>
                <w:tcPr/>
                <w:p>
                  <w:pPr>
                    <w:pStyle w:val="Compact"/>
                    <w:jc w:val="center"/>
                    <w:jc w:val="center"/>
                  </w:pPr>
                  <w:r>
                    <w:t xml:space="preserve">6.4%</w:t>
                  </w:r>
                </w:p>
              </w:tc>
            </w:tr>
            <w:tr>
              <w:tc>
                <w:tcPr/>
                <w:p>
                  <w:pPr>
                    <w:pStyle w:val="Compact"/>
                    <w:jc w:val="center"/>
                    <w:jc w:val="center"/>
                  </w:pPr>
                  <w:r>
                    <w:t xml:space="preserve">70°</w:t>
                  </w:r>
                </w:p>
              </w:tc>
              <w:tc>
                <w:tcPr/>
                <w:p>
                  <w:pPr>
                    <w:pStyle w:val="Compact"/>
                    <w:jc w:val="center"/>
                    <w:jc w:val="center"/>
                  </w:pPr>
                  <w:r>
                    <w:t xml:space="preserve">SBTA</w:t>
                  </w:r>
                </w:p>
              </w:tc>
              <w:tc>
                <w:tcPr/>
                <w:p>
                  <w:pPr>
                    <w:pStyle w:val="Compact"/>
                    <w:jc w:val="center"/>
                    <w:jc w:val="center"/>
                  </w:pPr>
                  <w:r>
                    <w:t xml:space="preserve">Base de Aviação de Taubaté</w:t>
                  </w:r>
                </w:p>
              </w:tc>
              <w:tc>
                <w:tcPr/>
                <w:p>
                  <w:pPr>
                    <w:pStyle w:val="Compact"/>
                    <w:jc w:val="center"/>
                    <w:jc w:val="center"/>
                  </w:pPr>
                  <w:r>
                    <w:t xml:space="preserve">7217</w:t>
                  </w:r>
                </w:p>
              </w:tc>
              <w:tc>
                <w:tcPr/>
                <w:p>
                  <w:pPr>
                    <w:pStyle w:val="Compact"/>
                    <w:jc w:val="center"/>
                    <w:jc w:val="center"/>
                  </w:pPr>
                  <w:r>
                    <w:t xml:space="preserve">6510</w:t>
                  </w:r>
                </w:p>
              </w:tc>
              <w:tc>
                <w:tcPr/>
                <w:p>
                  <w:pPr>
                    <w:pStyle w:val="Compact"/>
                    <w:jc w:val="center"/>
                    <w:jc w:val="center"/>
                  </w:pPr>
                  <w:r>
                    <w:t xml:space="preserve">-707</w:t>
                  </w:r>
                </w:p>
              </w:tc>
              <w:tc>
                <w:tcPr/>
                <w:p>
                  <w:pPr>
                    <w:pStyle w:val="Compact"/>
                    <w:jc w:val="center"/>
                    <w:jc w:val="center"/>
                  </w:pPr>
                  <w:r>
                    <w:t xml:space="preserve">-9.8%</w:t>
                  </w:r>
                </w:p>
              </w:tc>
            </w:tr>
            <w:tr>
              <w:tc>
                <w:tcPr/>
                <w:p>
                  <w:pPr>
                    <w:pStyle w:val="Compact"/>
                    <w:jc w:val="center"/>
                    <w:jc w:val="center"/>
                  </w:pPr>
                  <w:r>
                    <w:t xml:space="preserve">71°</w:t>
                  </w:r>
                </w:p>
              </w:tc>
              <w:tc>
                <w:tcPr/>
                <w:p>
                  <w:pPr>
                    <w:pStyle w:val="Compact"/>
                    <w:jc w:val="center"/>
                    <w:jc w:val="center"/>
                  </w:pPr>
                  <w:r>
                    <w:t xml:space="preserve">SDIM</w:t>
                  </w:r>
                </w:p>
              </w:tc>
              <w:tc>
                <w:tcPr/>
                <w:p>
                  <w:pPr>
                    <w:pStyle w:val="Compact"/>
                    <w:jc w:val="center"/>
                    <w:jc w:val="center"/>
                  </w:pPr>
                  <w:r>
                    <w:t xml:space="preserve">Itanhaém</w:t>
                  </w:r>
                </w:p>
              </w:tc>
              <w:tc>
                <w:tcPr/>
                <w:p>
                  <w:pPr>
                    <w:pStyle w:val="Compact"/>
                    <w:jc w:val="center"/>
                    <w:jc w:val="center"/>
                  </w:pPr>
                  <w:r>
                    <w:t xml:space="preserve">6556</w:t>
                  </w:r>
                </w:p>
              </w:tc>
              <w:tc>
                <w:tcPr/>
                <w:p>
                  <w:pPr>
                    <w:pStyle w:val="Compact"/>
                    <w:jc w:val="center"/>
                    <w:jc w:val="center"/>
                  </w:pPr>
                  <w:r>
                    <w:t xml:space="preserve">6487</w:t>
                  </w:r>
                </w:p>
              </w:tc>
              <w:tc>
                <w:tcPr/>
                <w:p>
                  <w:pPr>
                    <w:pStyle w:val="Compact"/>
                    <w:jc w:val="center"/>
                    <w:jc w:val="center"/>
                  </w:pPr>
                  <w:r>
                    <w:t xml:space="preserve">-69</w:t>
                  </w:r>
                </w:p>
              </w:tc>
              <w:tc>
                <w:tcPr/>
                <w:p>
                  <w:pPr>
                    <w:pStyle w:val="Compact"/>
                    <w:jc w:val="center"/>
                    <w:jc w:val="center"/>
                  </w:pPr>
                  <w:r>
                    <w:t xml:space="preserve">-1.1%</w:t>
                  </w:r>
                </w:p>
              </w:tc>
            </w:tr>
            <w:tr>
              <w:tc>
                <w:tcPr/>
                <w:p>
                  <w:pPr>
                    <w:pStyle w:val="Compact"/>
                    <w:jc w:val="center"/>
                    <w:jc w:val="center"/>
                  </w:pPr>
                  <w:r>
                    <w:t xml:space="preserve">72°</w:t>
                  </w:r>
                </w:p>
              </w:tc>
              <w:tc>
                <w:tcPr/>
                <w:p>
                  <w:pPr>
                    <w:pStyle w:val="Compact"/>
                    <w:jc w:val="center"/>
                    <w:jc w:val="center"/>
                  </w:pPr>
                  <w:r>
                    <w:t xml:space="preserve">SBUR</w:t>
                  </w:r>
                </w:p>
              </w:tc>
              <w:tc>
                <w:tcPr/>
                <w:p>
                  <w:pPr>
                    <w:pStyle w:val="Compact"/>
                    <w:jc w:val="center"/>
                    <w:jc w:val="center"/>
                  </w:pPr>
                  <w:r>
                    <w:t xml:space="preserve">Uberaba</w:t>
                  </w:r>
                </w:p>
              </w:tc>
              <w:tc>
                <w:tcPr/>
                <w:p>
                  <w:pPr>
                    <w:pStyle w:val="Compact"/>
                    <w:jc w:val="center"/>
                    <w:jc w:val="center"/>
                  </w:pPr>
                  <w:r>
                    <w:t xml:space="preserve">7064</w:t>
                  </w:r>
                </w:p>
              </w:tc>
              <w:tc>
                <w:tcPr/>
                <w:p>
                  <w:pPr>
                    <w:pStyle w:val="Compact"/>
                    <w:jc w:val="center"/>
                    <w:jc w:val="center"/>
                  </w:pPr>
                  <w:r>
                    <w:t xml:space="preserve">6112</w:t>
                  </w:r>
                </w:p>
              </w:tc>
              <w:tc>
                <w:tcPr/>
                <w:p>
                  <w:pPr>
                    <w:pStyle w:val="Compact"/>
                    <w:jc w:val="center"/>
                    <w:jc w:val="center"/>
                  </w:pPr>
                  <w:r>
                    <w:t xml:space="preserve">-952</w:t>
                  </w:r>
                </w:p>
              </w:tc>
              <w:tc>
                <w:tcPr/>
                <w:p>
                  <w:pPr>
                    <w:pStyle w:val="Compact"/>
                    <w:jc w:val="center"/>
                    <w:jc w:val="center"/>
                  </w:pPr>
                  <w:r>
                    <w:t xml:space="preserve">-13.5%</w:t>
                  </w:r>
                </w:p>
              </w:tc>
            </w:tr>
            <w:tr>
              <w:tc>
                <w:tcPr/>
                <w:p>
                  <w:pPr>
                    <w:pStyle w:val="Compact"/>
                    <w:jc w:val="center"/>
                    <w:jc w:val="center"/>
                  </w:pPr>
                  <w:r>
                    <w:t xml:space="preserve">73°</w:t>
                  </w:r>
                </w:p>
              </w:tc>
              <w:tc>
                <w:tcPr/>
                <w:p>
                  <w:pPr>
                    <w:pStyle w:val="Compact"/>
                    <w:jc w:val="center"/>
                    <w:jc w:val="center"/>
                  </w:pPr>
                  <w:r>
                    <w:t xml:space="preserve">SBPL</w:t>
                  </w:r>
                </w:p>
              </w:tc>
              <w:tc>
                <w:tcPr/>
                <w:p>
                  <w:pPr>
                    <w:pStyle w:val="Compact"/>
                    <w:jc w:val="center"/>
                    <w:jc w:val="center"/>
                  </w:pPr>
                  <w:r>
                    <w:t xml:space="preserve">Senador Nilo Coelho</w:t>
                  </w:r>
                </w:p>
              </w:tc>
              <w:tc>
                <w:tcPr/>
                <w:p>
                  <w:pPr>
                    <w:pStyle w:val="Compact"/>
                    <w:jc w:val="center"/>
                    <w:jc w:val="center"/>
                  </w:pPr>
                  <w:r>
                    <w:t xml:space="preserve">6645</w:t>
                  </w:r>
                </w:p>
              </w:tc>
              <w:tc>
                <w:tcPr/>
                <w:p>
                  <w:pPr>
                    <w:pStyle w:val="Compact"/>
                    <w:jc w:val="center"/>
                    <w:jc w:val="center"/>
                  </w:pPr>
                  <w:r>
                    <w:t xml:space="preserve">5929</w:t>
                  </w:r>
                </w:p>
              </w:tc>
              <w:tc>
                <w:tcPr/>
                <w:p>
                  <w:pPr>
                    <w:pStyle w:val="Compact"/>
                    <w:jc w:val="center"/>
                    <w:jc w:val="center"/>
                  </w:pPr>
                  <w:r>
                    <w:t xml:space="preserve">-716</w:t>
                  </w:r>
                </w:p>
              </w:tc>
              <w:tc>
                <w:tcPr/>
                <w:p>
                  <w:pPr>
                    <w:pStyle w:val="Compact"/>
                    <w:jc w:val="center"/>
                    <w:jc w:val="center"/>
                  </w:pPr>
                  <w:r>
                    <w:t xml:space="preserve">-10.8%</w:t>
                  </w:r>
                </w:p>
              </w:tc>
            </w:tr>
            <w:tr>
              <w:tc>
                <w:tcPr/>
                <w:p>
                  <w:pPr>
                    <w:pStyle w:val="Compact"/>
                    <w:jc w:val="center"/>
                    <w:jc w:val="center"/>
                  </w:pPr>
                  <w:r>
                    <w:t xml:space="preserve">74°</w:t>
                  </w:r>
                </w:p>
              </w:tc>
              <w:tc>
                <w:tcPr/>
                <w:p>
                  <w:pPr>
                    <w:pStyle w:val="Compact"/>
                    <w:jc w:val="center"/>
                    <w:jc w:val="center"/>
                  </w:pPr>
                  <w:r>
                    <w:t xml:space="preserve">SBIZ</w:t>
                  </w:r>
                </w:p>
              </w:tc>
              <w:tc>
                <w:tcPr/>
                <w:p>
                  <w:pPr>
                    <w:pStyle w:val="Compact"/>
                    <w:jc w:val="center"/>
                    <w:jc w:val="center"/>
                  </w:pPr>
                  <w:r>
                    <w:t xml:space="preserve">Imperatriz</w:t>
                  </w:r>
                </w:p>
              </w:tc>
              <w:tc>
                <w:tcPr/>
                <w:p>
                  <w:pPr>
                    <w:pStyle w:val="Compact"/>
                    <w:jc w:val="center"/>
                    <w:jc w:val="center"/>
                  </w:pPr>
                  <w:r>
                    <w:t xml:space="preserve">5776</w:t>
                  </w:r>
                </w:p>
              </w:tc>
              <w:tc>
                <w:tcPr/>
                <w:p>
                  <w:pPr>
                    <w:pStyle w:val="Compact"/>
                    <w:jc w:val="center"/>
                    <w:jc w:val="center"/>
                  </w:pPr>
                  <w:r>
                    <w:t xml:space="preserve">5851</w:t>
                  </w:r>
                </w:p>
              </w:tc>
              <w:tc>
                <w:tcPr/>
                <w:p>
                  <w:pPr>
                    <w:pStyle w:val="Compact"/>
                    <w:jc w:val="center"/>
                    <w:jc w:val="center"/>
                  </w:pPr>
                  <w:r>
                    <w:t xml:space="preserve">75</w:t>
                  </w:r>
                </w:p>
              </w:tc>
              <w:tc>
                <w:tcPr/>
                <w:p>
                  <w:pPr>
                    <w:pStyle w:val="Compact"/>
                    <w:jc w:val="center"/>
                    <w:jc w:val="center"/>
                  </w:pPr>
                  <w:r>
                    <w:t xml:space="preserve">1.3%</w:t>
                  </w:r>
                </w:p>
              </w:tc>
            </w:tr>
            <w:tr>
              <w:tc>
                <w:tcPr/>
                <w:p>
                  <w:pPr>
                    <w:pStyle w:val="Compact"/>
                    <w:jc w:val="center"/>
                    <w:jc w:val="center"/>
                  </w:pPr>
                  <w:r>
                    <w:t xml:space="preserve">75°</w:t>
                  </w:r>
                </w:p>
              </w:tc>
              <w:tc>
                <w:tcPr/>
                <w:p>
                  <w:pPr>
                    <w:pStyle w:val="Compact"/>
                    <w:jc w:val="center"/>
                    <w:jc w:val="center"/>
                  </w:pPr>
                  <w:r>
                    <w:t xml:space="preserve">SBMA</w:t>
                  </w:r>
                </w:p>
              </w:tc>
              <w:tc>
                <w:tcPr/>
                <w:p>
                  <w:pPr>
                    <w:pStyle w:val="Compact"/>
                    <w:jc w:val="center"/>
                    <w:jc w:val="center"/>
                  </w:pPr>
                  <w:r>
                    <w:t xml:space="preserve">Marabá</w:t>
                  </w:r>
                </w:p>
              </w:tc>
              <w:tc>
                <w:tcPr/>
                <w:p>
                  <w:pPr>
                    <w:pStyle w:val="Compact"/>
                    <w:jc w:val="center"/>
                    <w:jc w:val="center"/>
                  </w:pPr>
                  <w:r>
                    <w:t xml:space="preserve">7033</w:t>
                  </w:r>
                </w:p>
              </w:tc>
              <w:tc>
                <w:tcPr/>
                <w:p>
                  <w:pPr>
                    <w:pStyle w:val="Compact"/>
                    <w:jc w:val="center"/>
                    <w:jc w:val="center"/>
                  </w:pPr>
                  <w:r>
                    <w:t xml:space="preserve">5780</w:t>
                  </w:r>
                </w:p>
              </w:tc>
              <w:tc>
                <w:tcPr/>
                <w:p>
                  <w:pPr>
                    <w:pStyle w:val="Compact"/>
                    <w:jc w:val="center"/>
                    <w:jc w:val="center"/>
                  </w:pPr>
                  <w:r>
                    <w:t xml:space="preserve">-1253</w:t>
                  </w:r>
                </w:p>
              </w:tc>
              <w:tc>
                <w:tcPr/>
                <w:p>
                  <w:pPr>
                    <w:pStyle w:val="Compact"/>
                    <w:jc w:val="center"/>
                    <w:jc w:val="center"/>
                  </w:pPr>
                  <w:r>
                    <w:t xml:space="preserve">-17.8%</w:t>
                  </w:r>
                </w:p>
              </w:tc>
            </w:tr>
            <w:tr>
              <w:tc>
                <w:tcPr/>
                <w:p>
                  <w:pPr>
                    <w:pStyle w:val="Compact"/>
                    <w:jc w:val="center"/>
                    <w:jc w:val="center"/>
                  </w:pPr>
                  <w:r>
                    <w:t xml:space="preserve">76°</w:t>
                  </w:r>
                </w:p>
              </w:tc>
              <w:tc>
                <w:tcPr/>
                <w:p>
                  <w:pPr>
                    <w:pStyle w:val="Compact"/>
                    <w:jc w:val="center"/>
                    <w:jc w:val="center"/>
                  </w:pPr>
                  <w:r>
                    <w:t xml:space="preserve">SBVC</w:t>
                  </w:r>
                </w:p>
              </w:tc>
              <w:tc>
                <w:tcPr/>
                <w:p>
                  <w:pPr>
                    <w:pStyle w:val="Compact"/>
                    <w:jc w:val="center"/>
                    <w:jc w:val="center"/>
                  </w:pPr>
                  <w:r>
                    <w:t xml:space="preserve">Glauber de Rocha Andrade</w:t>
                  </w:r>
                </w:p>
              </w:tc>
              <w:tc>
                <w:tcPr/>
                <w:p>
                  <w:pPr>
                    <w:pStyle w:val="Compact"/>
                    <w:jc w:val="center"/>
                    <w:jc w:val="center"/>
                  </w:pPr>
                  <w:r>
                    <w:t xml:space="preserve">6022</w:t>
                  </w:r>
                </w:p>
              </w:tc>
              <w:tc>
                <w:tcPr/>
                <w:p>
                  <w:pPr>
                    <w:pStyle w:val="Compact"/>
                    <w:jc w:val="center"/>
                    <w:jc w:val="center"/>
                  </w:pPr>
                  <w:r>
                    <w:t xml:space="preserve">5652</w:t>
                  </w:r>
                </w:p>
              </w:tc>
              <w:tc>
                <w:tcPr/>
                <w:p>
                  <w:pPr>
                    <w:pStyle w:val="Compact"/>
                    <w:jc w:val="center"/>
                    <w:jc w:val="center"/>
                  </w:pPr>
                  <w:r>
                    <w:t xml:space="preserve">-370</w:t>
                  </w:r>
                </w:p>
              </w:tc>
              <w:tc>
                <w:tcPr/>
                <w:p>
                  <w:pPr>
                    <w:pStyle w:val="Compact"/>
                    <w:jc w:val="center"/>
                    <w:jc w:val="center"/>
                  </w:pPr>
                  <w:r>
                    <w:t xml:space="preserve">-6.1%</w:t>
                  </w:r>
                </w:p>
              </w:tc>
            </w:tr>
            <w:tr>
              <w:tc>
                <w:tcPr/>
                <w:p>
                  <w:pPr>
                    <w:pStyle w:val="Compact"/>
                    <w:jc w:val="center"/>
                    <w:jc w:val="center"/>
                  </w:pPr>
                  <w:r>
                    <w:t xml:space="preserve">77°</w:t>
                  </w:r>
                </w:p>
              </w:tc>
              <w:tc>
                <w:tcPr/>
                <w:p>
                  <w:pPr>
                    <w:pStyle w:val="Compact"/>
                    <w:jc w:val="center"/>
                    <w:jc w:val="center"/>
                  </w:pPr>
                  <w:r>
                    <w:t xml:space="preserve">SBCZ</w:t>
                  </w:r>
                </w:p>
              </w:tc>
              <w:tc>
                <w:tcPr/>
                <w:p>
                  <w:pPr>
                    <w:pStyle w:val="Compact"/>
                    <w:jc w:val="center"/>
                    <w:jc w:val="center"/>
                  </w:pPr>
                  <w:r>
                    <w:t xml:space="preserve">Cruzeiro do Sul</w:t>
                  </w:r>
                </w:p>
              </w:tc>
              <w:tc>
                <w:tcPr/>
                <w:p>
                  <w:pPr>
                    <w:pStyle w:val="Compact"/>
                    <w:jc w:val="center"/>
                    <w:jc w:val="center"/>
                  </w:pPr>
                  <w:r>
                    <w:t xml:space="preserve">6505</w:t>
                  </w:r>
                </w:p>
              </w:tc>
              <w:tc>
                <w:tcPr/>
                <w:p>
                  <w:pPr>
                    <w:pStyle w:val="Compact"/>
                    <w:jc w:val="center"/>
                    <w:jc w:val="center"/>
                  </w:pPr>
                  <w:r>
                    <w:t xml:space="preserve">5373</w:t>
                  </w:r>
                </w:p>
              </w:tc>
              <w:tc>
                <w:tcPr/>
                <w:p>
                  <w:pPr>
                    <w:pStyle w:val="Compact"/>
                    <w:jc w:val="center"/>
                    <w:jc w:val="center"/>
                  </w:pPr>
                  <w:r>
                    <w:t xml:space="preserve">-1132</w:t>
                  </w:r>
                </w:p>
              </w:tc>
              <w:tc>
                <w:tcPr/>
                <w:p>
                  <w:pPr>
                    <w:pStyle w:val="Compact"/>
                    <w:jc w:val="center"/>
                    <w:jc w:val="center"/>
                  </w:pPr>
                  <w:r>
                    <w:t xml:space="preserve">-17.4%</w:t>
                  </w:r>
                </w:p>
              </w:tc>
            </w:tr>
            <w:tr>
              <w:tc>
                <w:tcPr/>
                <w:p>
                  <w:pPr>
                    <w:pStyle w:val="Compact"/>
                    <w:jc w:val="center"/>
                    <w:jc w:val="center"/>
                  </w:pPr>
                  <w:r>
                    <w:t xml:space="preserve">78°</w:t>
                  </w:r>
                </w:p>
              </w:tc>
              <w:tc>
                <w:tcPr/>
                <w:p>
                  <w:pPr>
                    <w:pStyle w:val="Compact"/>
                    <w:jc w:val="center"/>
                    <w:jc w:val="center"/>
                  </w:pPr>
                  <w:r>
                    <w:t xml:space="preserve">SBSM</w:t>
                  </w:r>
                </w:p>
              </w:tc>
              <w:tc>
                <w:tcPr/>
                <w:p>
                  <w:pPr>
                    <w:pStyle w:val="Compact"/>
                    <w:jc w:val="center"/>
                    <w:jc w:val="center"/>
                  </w:pPr>
                  <w:r>
                    <w:t xml:space="preserve">Base Aérea de Santa Maria</w:t>
                  </w:r>
                </w:p>
              </w:tc>
              <w:tc>
                <w:tcPr/>
                <w:p>
                  <w:pPr>
                    <w:pStyle w:val="Compact"/>
                    <w:jc w:val="center"/>
                    <w:jc w:val="center"/>
                  </w:pPr>
                  <w:r>
                    <w:t xml:space="preserve">7135</w:t>
                  </w:r>
                </w:p>
              </w:tc>
              <w:tc>
                <w:tcPr/>
                <w:p>
                  <w:pPr>
                    <w:pStyle w:val="Compact"/>
                    <w:jc w:val="center"/>
                    <w:jc w:val="center"/>
                  </w:pPr>
                  <w:r>
                    <w:t xml:space="preserve">5362</w:t>
                  </w:r>
                </w:p>
              </w:tc>
              <w:tc>
                <w:tcPr/>
                <w:p>
                  <w:pPr>
                    <w:pStyle w:val="Compact"/>
                    <w:jc w:val="center"/>
                    <w:jc w:val="center"/>
                  </w:pPr>
                  <w:r>
                    <w:t xml:space="preserve">-1773</w:t>
                  </w:r>
                </w:p>
              </w:tc>
              <w:tc>
                <w:tcPr/>
                <w:p>
                  <w:pPr>
                    <w:pStyle w:val="Compact"/>
                    <w:jc w:val="center"/>
                    <w:jc w:val="center"/>
                  </w:pPr>
                  <w:r>
                    <w:t xml:space="preserve">-24.8%</w:t>
                  </w:r>
                </w:p>
              </w:tc>
            </w:tr>
            <w:tr>
              <w:tc>
                <w:tcPr/>
                <w:p>
                  <w:pPr>
                    <w:pStyle w:val="Compact"/>
                    <w:jc w:val="center"/>
                    <w:jc w:val="center"/>
                  </w:pPr>
                  <w:r>
                    <w:t xml:space="preserve">79°</w:t>
                  </w:r>
                </w:p>
              </w:tc>
              <w:tc>
                <w:tcPr/>
                <w:p>
                  <w:pPr>
                    <w:pStyle w:val="Compact"/>
                    <w:jc w:val="center"/>
                    <w:jc w:val="center"/>
                  </w:pPr>
                  <w:r>
                    <w:t xml:space="preserve">SBML</w:t>
                  </w:r>
                </w:p>
              </w:tc>
              <w:tc>
                <w:tcPr/>
                <w:p>
                  <w:pPr>
                    <w:pStyle w:val="Compact"/>
                    <w:jc w:val="center"/>
                    <w:jc w:val="center"/>
                  </w:pPr>
                  <w:r>
                    <w:t xml:space="preserve">Marília</w:t>
                  </w:r>
                </w:p>
              </w:tc>
              <w:tc>
                <w:tcPr/>
                <w:p>
                  <w:pPr>
                    <w:pStyle w:val="Compact"/>
                    <w:jc w:val="center"/>
                    <w:jc w:val="center"/>
                  </w:pPr>
                  <w:r>
                    <w:t xml:space="preserve">4710</w:t>
                  </w:r>
                </w:p>
              </w:tc>
              <w:tc>
                <w:tcPr/>
                <w:p>
                  <w:pPr>
                    <w:pStyle w:val="Compact"/>
                    <w:jc w:val="center"/>
                    <w:jc w:val="center"/>
                  </w:pPr>
                  <w:r>
                    <w:t xml:space="preserve">5069</w:t>
                  </w:r>
                </w:p>
              </w:tc>
              <w:tc>
                <w:tcPr/>
                <w:p>
                  <w:pPr>
                    <w:pStyle w:val="Compact"/>
                    <w:jc w:val="center"/>
                    <w:jc w:val="center"/>
                  </w:pPr>
                  <w:r>
                    <w:t xml:space="preserve">359</w:t>
                  </w:r>
                </w:p>
              </w:tc>
              <w:tc>
                <w:tcPr/>
                <w:p>
                  <w:pPr>
                    <w:pStyle w:val="Compact"/>
                    <w:jc w:val="center"/>
                    <w:jc w:val="center"/>
                  </w:pPr>
                  <w:r>
                    <w:t xml:space="preserve">7.6%</w:t>
                  </w:r>
                </w:p>
              </w:tc>
            </w:tr>
            <w:tr>
              <w:tc>
                <w:tcPr/>
                <w:p>
                  <w:pPr>
                    <w:pStyle w:val="Compact"/>
                    <w:jc w:val="center"/>
                    <w:jc w:val="center"/>
                  </w:pPr>
                  <w:r>
                    <w:t xml:space="preserve">80°</w:t>
                  </w:r>
                </w:p>
              </w:tc>
              <w:tc>
                <w:tcPr/>
                <w:p>
                  <w:pPr>
                    <w:pStyle w:val="Compact"/>
                    <w:jc w:val="center"/>
                    <w:jc w:val="center"/>
                  </w:pPr>
                  <w:r>
                    <w:t xml:space="preserve">SBCJ</w:t>
                  </w:r>
                </w:p>
              </w:tc>
              <w:tc>
                <w:tcPr/>
                <w:p>
                  <w:pPr>
                    <w:pStyle w:val="Compact"/>
                    <w:jc w:val="center"/>
                    <w:jc w:val="center"/>
                  </w:pPr>
                  <w:r>
                    <w:t xml:space="preserve">Carajás</w:t>
                  </w:r>
                </w:p>
              </w:tc>
              <w:tc>
                <w:tcPr/>
                <w:p>
                  <w:pPr>
                    <w:pStyle w:val="Compact"/>
                    <w:jc w:val="center"/>
                    <w:jc w:val="center"/>
                  </w:pPr>
                  <w:r>
                    <w:t xml:space="preserve">5269</w:t>
                  </w:r>
                </w:p>
              </w:tc>
              <w:tc>
                <w:tcPr/>
                <w:p>
                  <w:pPr>
                    <w:pStyle w:val="Compact"/>
                    <w:jc w:val="center"/>
                    <w:jc w:val="center"/>
                  </w:pPr>
                  <w:r>
                    <w:t xml:space="preserve">4798</w:t>
                  </w:r>
                </w:p>
              </w:tc>
              <w:tc>
                <w:tcPr/>
                <w:p>
                  <w:pPr>
                    <w:pStyle w:val="Compact"/>
                    <w:jc w:val="center"/>
                    <w:jc w:val="center"/>
                  </w:pPr>
                  <w:r>
                    <w:t xml:space="preserve">-471</w:t>
                  </w:r>
                </w:p>
              </w:tc>
              <w:tc>
                <w:tcPr/>
                <w:p>
                  <w:pPr>
                    <w:pStyle w:val="Compact"/>
                    <w:jc w:val="center"/>
                    <w:jc w:val="center"/>
                  </w:pPr>
                  <w:r>
                    <w:t xml:space="preserve">-8.9%</w:t>
                  </w:r>
                </w:p>
              </w:tc>
            </w:tr>
            <w:tr>
              <w:tc>
                <w:tcPr/>
                <w:p>
                  <w:pPr>
                    <w:pStyle w:val="Compact"/>
                    <w:jc w:val="center"/>
                    <w:jc w:val="center"/>
                  </w:pPr>
                  <w:r>
                    <w:t xml:space="preserve">81°</w:t>
                  </w:r>
                </w:p>
              </w:tc>
              <w:tc>
                <w:tcPr/>
                <w:p>
                  <w:pPr>
                    <w:pStyle w:val="Compact"/>
                    <w:jc w:val="center"/>
                    <w:jc w:val="center"/>
                  </w:pPr>
                  <w:r>
                    <w:t xml:space="preserve">SBAN</w:t>
                  </w:r>
                </w:p>
              </w:tc>
              <w:tc>
                <w:tcPr/>
                <w:p>
                  <w:pPr>
                    <w:pStyle w:val="Compact"/>
                    <w:jc w:val="center"/>
                    <w:jc w:val="center"/>
                  </w:pPr>
                  <w:r>
                    <w:t xml:space="preserve">Base Aérea de Anápolis</w:t>
                  </w:r>
                </w:p>
              </w:tc>
              <w:tc>
                <w:tcPr/>
                <w:p>
                  <w:pPr>
                    <w:pStyle w:val="Compact"/>
                    <w:jc w:val="center"/>
                    <w:jc w:val="center"/>
                  </w:pPr>
                  <w:r>
                    <w:t xml:space="preserve">3871</w:t>
                  </w:r>
                </w:p>
              </w:tc>
              <w:tc>
                <w:tcPr/>
                <w:p>
                  <w:pPr>
                    <w:pStyle w:val="Compact"/>
                    <w:jc w:val="center"/>
                    <w:jc w:val="center"/>
                  </w:pPr>
                  <w:r>
                    <w:t xml:space="preserve">4678</w:t>
                  </w:r>
                </w:p>
              </w:tc>
              <w:tc>
                <w:tcPr/>
                <w:p>
                  <w:pPr>
                    <w:pStyle w:val="Compact"/>
                    <w:jc w:val="center"/>
                    <w:jc w:val="center"/>
                  </w:pPr>
                  <w:r>
                    <w:t xml:space="preserve">807</w:t>
                  </w:r>
                </w:p>
              </w:tc>
              <w:tc>
                <w:tcPr/>
                <w:p>
                  <w:pPr>
                    <w:pStyle w:val="Compact"/>
                    <w:jc w:val="center"/>
                    <w:jc w:val="center"/>
                  </w:pPr>
                  <w:r>
                    <w:t xml:space="preserve">20.8%</w:t>
                  </w:r>
                </w:p>
              </w:tc>
            </w:tr>
            <w:tr>
              <w:tc>
                <w:tcPr/>
                <w:p>
                  <w:pPr>
                    <w:pStyle w:val="Compact"/>
                    <w:jc w:val="center"/>
                    <w:jc w:val="center"/>
                  </w:pPr>
                  <w:r>
                    <w:t xml:space="preserve">82°</w:t>
                  </w:r>
                </w:p>
              </w:tc>
              <w:tc>
                <w:tcPr/>
                <w:p>
                  <w:pPr>
                    <w:pStyle w:val="Compact"/>
                    <w:jc w:val="center"/>
                    <w:jc w:val="center"/>
                  </w:pPr>
                  <w:r>
                    <w:t xml:space="preserve">SBCO</w:t>
                  </w:r>
                </w:p>
              </w:tc>
              <w:tc>
                <w:tcPr/>
                <w:p>
                  <w:pPr>
                    <w:pStyle w:val="Compact"/>
                    <w:jc w:val="center"/>
                    <w:jc w:val="center"/>
                  </w:pPr>
                  <w:r>
                    <w:t xml:space="preserve">Canoas</w:t>
                  </w:r>
                </w:p>
              </w:tc>
              <w:tc>
                <w:tcPr/>
                <w:p>
                  <w:pPr>
                    <w:pStyle w:val="Compact"/>
                    <w:jc w:val="center"/>
                    <w:jc w:val="center"/>
                  </w:pPr>
                  <w:r>
                    <w:t xml:space="preserve">12063</w:t>
                  </w:r>
                </w:p>
              </w:tc>
              <w:tc>
                <w:tcPr/>
                <w:p>
                  <w:pPr>
                    <w:pStyle w:val="Compact"/>
                    <w:jc w:val="center"/>
                    <w:jc w:val="center"/>
                  </w:pPr>
                  <w:r>
                    <w:t xml:space="preserve">4660</w:t>
                  </w:r>
                </w:p>
              </w:tc>
              <w:tc>
                <w:tcPr/>
                <w:p>
                  <w:pPr>
                    <w:pStyle w:val="Compact"/>
                    <w:jc w:val="center"/>
                    <w:jc w:val="center"/>
                  </w:pPr>
                  <w:r>
                    <w:t xml:space="preserve">-7403</w:t>
                  </w:r>
                </w:p>
              </w:tc>
              <w:tc>
                <w:tcPr/>
                <w:p>
                  <w:pPr>
                    <w:pStyle w:val="Compact"/>
                    <w:jc w:val="center"/>
                    <w:jc w:val="center"/>
                  </w:pPr>
                  <w:r>
                    <w:t xml:space="preserve">-61.4%</w:t>
                  </w:r>
                </w:p>
              </w:tc>
            </w:tr>
            <w:tr>
              <w:tc>
                <w:tcPr/>
                <w:p>
                  <w:pPr>
                    <w:pStyle w:val="Compact"/>
                    <w:jc w:val="center"/>
                    <w:jc w:val="center"/>
                  </w:pPr>
                  <w:r>
                    <w:t xml:space="preserve">83°</w:t>
                  </w:r>
                </w:p>
              </w:tc>
              <w:tc>
                <w:tcPr/>
                <w:p>
                  <w:pPr>
                    <w:pStyle w:val="Compact"/>
                    <w:jc w:val="center"/>
                    <w:jc w:val="center"/>
                  </w:pPr>
                  <w:r>
                    <w:t xml:space="preserve">SBFN</w:t>
                  </w:r>
                </w:p>
              </w:tc>
              <w:tc>
                <w:tcPr/>
                <w:p>
                  <w:pPr>
                    <w:pStyle w:val="Compact"/>
                    <w:jc w:val="center"/>
                    <w:jc w:val="center"/>
                  </w:pPr>
                  <w:r>
                    <w:t xml:space="preserve">Fernando de Noronha</w:t>
                  </w:r>
                </w:p>
              </w:tc>
              <w:tc>
                <w:tcPr/>
                <w:p>
                  <w:pPr>
                    <w:pStyle w:val="Compact"/>
                    <w:jc w:val="center"/>
                    <w:jc w:val="center"/>
                  </w:pPr>
                  <w:r>
                    <w:t xml:space="preserve">6658</w:t>
                  </w:r>
                </w:p>
              </w:tc>
              <w:tc>
                <w:tcPr/>
                <w:p>
                  <w:pPr>
                    <w:pStyle w:val="Compact"/>
                    <w:jc w:val="center"/>
                    <w:jc w:val="center"/>
                  </w:pPr>
                  <w:r>
                    <w:t xml:space="preserve">4646</w:t>
                  </w:r>
                </w:p>
              </w:tc>
              <w:tc>
                <w:tcPr/>
                <w:p>
                  <w:pPr>
                    <w:pStyle w:val="Compact"/>
                    <w:jc w:val="center"/>
                    <w:jc w:val="center"/>
                  </w:pPr>
                  <w:r>
                    <w:t xml:space="preserve">-2012</w:t>
                  </w:r>
                </w:p>
              </w:tc>
              <w:tc>
                <w:tcPr/>
                <w:p>
                  <w:pPr>
                    <w:pStyle w:val="Compact"/>
                    <w:jc w:val="center"/>
                    <w:jc w:val="center"/>
                  </w:pPr>
                  <w:r>
                    <w:t xml:space="preserve">-30.2%</w:t>
                  </w:r>
                </w:p>
              </w:tc>
            </w:tr>
            <w:tr>
              <w:tc>
                <w:tcPr/>
                <w:p>
                  <w:pPr>
                    <w:pStyle w:val="Compact"/>
                    <w:jc w:val="center"/>
                    <w:jc w:val="center"/>
                  </w:pPr>
                  <w:r>
                    <w:t xml:space="preserve">84°</w:t>
                  </w:r>
                </w:p>
              </w:tc>
              <w:tc>
                <w:tcPr/>
                <w:p>
                  <w:pPr>
                    <w:pStyle w:val="Compact"/>
                    <w:jc w:val="center"/>
                    <w:jc w:val="center"/>
                  </w:pPr>
                  <w:r>
                    <w:t xml:space="preserve">SBCX</w:t>
                  </w:r>
                </w:p>
              </w:tc>
              <w:tc>
                <w:tcPr/>
                <w:p>
                  <w:pPr>
                    <w:pStyle w:val="Compact"/>
                    <w:jc w:val="center"/>
                    <w:jc w:val="center"/>
                  </w:pPr>
                  <w:r>
                    <w:t xml:space="preserve">Campo dos Bugres</w:t>
                  </w:r>
                </w:p>
              </w:tc>
              <w:tc>
                <w:tcPr/>
                <w:p>
                  <w:pPr>
                    <w:pStyle w:val="Compact"/>
                    <w:jc w:val="center"/>
                    <w:jc w:val="center"/>
                  </w:pPr>
                  <w:r>
                    <w:t xml:space="preserve">7420</w:t>
                  </w:r>
                </w:p>
              </w:tc>
              <w:tc>
                <w:tcPr/>
                <w:p>
                  <w:pPr>
                    <w:pStyle w:val="Compact"/>
                    <w:jc w:val="center"/>
                    <w:jc w:val="center"/>
                  </w:pPr>
                  <w:r>
                    <w:t xml:space="preserve">4553</w:t>
                  </w:r>
                </w:p>
              </w:tc>
              <w:tc>
                <w:tcPr/>
                <w:p>
                  <w:pPr>
                    <w:pStyle w:val="Compact"/>
                    <w:jc w:val="center"/>
                    <w:jc w:val="center"/>
                  </w:pPr>
                  <w:r>
                    <w:t xml:space="preserve">-2867</w:t>
                  </w:r>
                </w:p>
              </w:tc>
              <w:tc>
                <w:tcPr/>
                <w:p>
                  <w:pPr>
                    <w:pStyle w:val="Compact"/>
                    <w:jc w:val="center"/>
                    <w:jc w:val="center"/>
                  </w:pPr>
                  <w:r>
                    <w:t xml:space="preserve">-38.6%</w:t>
                  </w:r>
                </w:p>
              </w:tc>
            </w:tr>
            <w:tr>
              <w:tc>
                <w:tcPr/>
                <w:p>
                  <w:pPr>
                    <w:pStyle w:val="Compact"/>
                    <w:jc w:val="center"/>
                    <w:jc w:val="center"/>
                  </w:pPr>
                  <w:r>
                    <w:t xml:space="preserve">85°</w:t>
                  </w:r>
                </w:p>
              </w:tc>
              <w:tc>
                <w:tcPr/>
                <w:p>
                  <w:pPr>
                    <w:pStyle w:val="Compact"/>
                    <w:jc w:val="center"/>
                    <w:jc w:val="center"/>
                  </w:pPr>
                  <w:r>
                    <w:t xml:space="preserve">SBMN</w:t>
                  </w:r>
                </w:p>
              </w:tc>
              <w:tc>
                <w:tcPr/>
                <w:p>
                  <w:pPr>
                    <w:pStyle w:val="Compact"/>
                    <w:jc w:val="center"/>
                    <w:jc w:val="center"/>
                  </w:pPr>
                  <w:r>
                    <w:t xml:space="preserve">Base Aérea de Manaus</w:t>
                  </w:r>
                </w:p>
              </w:tc>
              <w:tc>
                <w:tcPr/>
                <w:p>
                  <w:pPr>
                    <w:pStyle w:val="Compact"/>
                    <w:jc w:val="center"/>
                    <w:jc w:val="center"/>
                  </w:pPr>
                  <w:r>
                    <w:t xml:space="preserve">4793</w:t>
                  </w:r>
                </w:p>
              </w:tc>
              <w:tc>
                <w:tcPr/>
                <w:p>
                  <w:pPr>
                    <w:pStyle w:val="Compact"/>
                    <w:jc w:val="center"/>
                    <w:jc w:val="center"/>
                  </w:pPr>
                  <w:r>
                    <w:t xml:space="preserve">3961</w:t>
                  </w:r>
                </w:p>
              </w:tc>
              <w:tc>
                <w:tcPr/>
                <w:p>
                  <w:pPr>
                    <w:pStyle w:val="Compact"/>
                    <w:jc w:val="center"/>
                    <w:jc w:val="center"/>
                  </w:pPr>
                  <w:r>
                    <w:t xml:space="preserve">-832</w:t>
                  </w:r>
                </w:p>
              </w:tc>
              <w:tc>
                <w:tcPr/>
                <w:p>
                  <w:pPr>
                    <w:pStyle w:val="Compact"/>
                    <w:jc w:val="center"/>
                    <w:jc w:val="center"/>
                  </w:pPr>
                  <w:r>
                    <w:t xml:space="preserve">-17.4%</w:t>
                  </w:r>
                </w:p>
              </w:tc>
            </w:tr>
            <w:tr>
              <w:tc>
                <w:tcPr/>
                <w:p>
                  <w:pPr>
                    <w:pStyle w:val="Compact"/>
                    <w:jc w:val="center"/>
                    <w:jc w:val="center"/>
                  </w:pPr>
                  <w:r>
                    <w:t xml:space="preserve">86°</w:t>
                  </w:r>
                </w:p>
              </w:tc>
              <w:tc>
                <w:tcPr/>
                <w:p>
                  <w:pPr>
                    <w:pStyle w:val="Compact"/>
                    <w:jc w:val="center"/>
                    <w:jc w:val="center"/>
                  </w:pPr>
                  <w:r>
                    <w:t xml:space="preserve">SBTT</w:t>
                  </w:r>
                </w:p>
              </w:tc>
              <w:tc>
                <w:tcPr/>
                <w:p>
                  <w:pPr>
                    <w:pStyle w:val="Compact"/>
                    <w:jc w:val="center"/>
                    <w:jc w:val="center"/>
                  </w:pPr>
                  <w:r>
                    <w:t xml:space="preserve">Tabatinga</w:t>
                  </w:r>
                </w:p>
              </w:tc>
              <w:tc>
                <w:tcPr/>
                <w:p>
                  <w:pPr>
                    <w:pStyle w:val="Compact"/>
                    <w:jc w:val="center"/>
                    <w:jc w:val="center"/>
                  </w:pPr>
                  <w:r>
                    <w:t xml:space="preserve">3605</w:t>
                  </w:r>
                </w:p>
              </w:tc>
              <w:tc>
                <w:tcPr/>
                <w:p>
                  <w:pPr>
                    <w:pStyle w:val="Compact"/>
                    <w:jc w:val="center"/>
                    <w:jc w:val="center"/>
                  </w:pPr>
                  <w:r>
                    <w:t xml:space="preserve">3924</w:t>
                  </w:r>
                </w:p>
              </w:tc>
              <w:tc>
                <w:tcPr/>
                <w:p>
                  <w:pPr>
                    <w:pStyle w:val="Compact"/>
                    <w:jc w:val="center"/>
                    <w:jc w:val="center"/>
                  </w:pPr>
                  <w:r>
                    <w:t xml:space="preserve">319</w:t>
                  </w:r>
                </w:p>
              </w:tc>
              <w:tc>
                <w:tcPr/>
                <w:p>
                  <w:pPr>
                    <w:pStyle w:val="Compact"/>
                    <w:jc w:val="center"/>
                    <w:jc w:val="center"/>
                  </w:pPr>
                  <w:r>
                    <w:t xml:space="preserve">8.8%</w:t>
                  </w:r>
                </w:p>
              </w:tc>
            </w:tr>
            <w:tr>
              <w:tc>
                <w:tcPr/>
                <w:p>
                  <w:pPr>
                    <w:pStyle w:val="Compact"/>
                    <w:jc w:val="center"/>
                    <w:jc w:val="center"/>
                  </w:pPr>
                  <w:r>
                    <w:t xml:space="preserve">87°</w:t>
                  </w:r>
                </w:p>
              </w:tc>
              <w:tc>
                <w:tcPr/>
                <w:p>
                  <w:pPr>
                    <w:pStyle w:val="Compact"/>
                    <w:jc w:val="center"/>
                    <w:jc w:val="center"/>
                  </w:pPr>
                  <w:r>
                    <w:t xml:space="preserve">SBTF</w:t>
                  </w:r>
                </w:p>
              </w:tc>
              <w:tc>
                <w:tcPr/>
                <w:p>
                  <w:pPr>
                    <w:pStyle w:val="Compact"/>
                    <w:jc w:val="center"/>
                    <w:jc w:val="center"/>
                  </w:pPr>
                  <w:r>
                    <w:t xml:space="preserve">Tefé</w:t>
                  </w:r>
                </w:p>
              </w:tc>
              <w:tc>
                <w:tcPr/>
                <w:p>
                  <w:pPr>
                    <w:pStyle w:val="Compact"/>
                    <w:jc w:val="center"/>
                    <w:jc w:val="center"/>
                  </w:pPr>
                  <w:r>
                    <w:t xml:space="preserve">3300</w:t>
                  </w:r>
                </w:p>
              </w:tc>
              <w:tc>
                <w:tcPr/>
                <w:p>
                  <w:pPr>
                    <w:pStyle w:val="Compact"/>
                    <w:jc w:val="center"/>
                    <w:jc w:val="center"/>
                  </w:pPr>
                  <w:r>
                    <w:t xml:space="preserve">3647</w:t>
                  </w:r>
                </w:p>
              </w:tc>
              <w:tc>
                <w:tcPr/>
                <w:p>
                  <w:pPr>
                    <w:pStyle w:val="Compact"/>
                    <w:jc w:val="center"/>
                    <w:jc w:val="center"/>
                  </w:pPr>
                  <w:r>
                    <w:t xml:space="preserve">347</w:t>
                  </w:r>
                </w:p>
              </w:tc>
              <w:tc>
                <w:tcPr/>
                <w:p>
                  <w:pPr>
                    <w:pStyle w:val="Compact"/>
                    <w:jc w:val="center"/>
                    <w:jc w:val="center"/>
                  </w:pPr>
                  <w:r>
                    <w:t xml:space="preserve">10.5%</w:t>
                  </w:r>
                </w:p>
              </w:tc>
            </w:tr>
            <w:tr>
              <w:tc>
                <w:tcPr/>
                <w:p>
                  <w:pPr>
                    <w:pStyle w:val="Compact"/>
                    <w:jc w:val="center"/>
                    <w:jc w:val="center"/>
                  </w:pPr>
                  <w:r>
                    <w:t xml:space="preserve">88°</w:t>
                  </w:r>
                </w:p>
              </w:tc>
              <w:tc>
                <w:tcPr/>
                <w:p>
                  <w:pPr>
                    <w:pStyle w:val="Compact"/>
                    <w:jc w:val="center"/>
                    <w:jc w:val="center"/>
                  </w:pPr>
                  <w:r>
                    <w:t xml:space="preserve">SBJE</w:t>
                  </w:r>
                </w:p>
              </w:tc>
              <w:tc>
                <w:tcPr/>
                <w:p>
                  <w:pPr>
                    <w:pStyle w:val="Compact"/>
                    <w:jc w:val="center"/>
                    <w:jc w:val="center"/>
                  </w:pPr>
                  <w:r>
                    <w:t xml:space="preserve">Jericoacoara</w:t>
                  </w:r>
                </w:p>
              </w:tc>
              <w:tc>
                <w:tcPr/>
                <w:p>
                  <w:pPr>
                    <w:pStyle w:val="Compact"/>
                    <w:jc w:val="center"/>
                    <w:jc w:val="center"/>
                  </w:pPr>
                  <w:r>
                    <w:t xml:space="preserve">2945</w:t>
                  </w:r>
                </w:p>
              </w:tc>
              <w:tc>
                <w:tcPr/>
                <w:p>
                  <w:pPr>
                    <w:pStyle w:val="Compact"/>
                    <w:jc w:val="center"/>
                    <w:jc w:val="center"/>
                  </w:pPr>
                  <w:r>
                    <w:t xml:space="preserve">2997</w:t>
                  </w:r>
                </w:p>
              </w:tc>
              <w:tc>
                <w:tcPr/>
                <w:p>
                  <w:pPr>
                    <w:pStyle w:val="Compact"/>
                    <w:jc w:val="center"/>
                    <w:jc w:val="center"/>
                  </w:pPr>
                  <w:r>
                    <w:t xml:space="preserve">52</w:t>
                  </w:r>
                </w:p>
              </w:tc>
              <w:tc>
                <w:tcPr/>
                <w:p>
                  <w:pPr>
                    <w:pStyle w:val="Compact"/>
                    <w:jc w:val="center"/>
                    <w:jc w:val="center"/>
                  </w:pPr>
                  <w:r>
                    <w:t xml:space="preserve">1.8%</w:t>
                  </w:r>
                </w:p>
              </w:tc>
            </w:tr>
            <w:tr>
              <w:tc>
                <w:tcPr/>
                <w:p>
                  <w:pPr>
                    <w:pStyle w:val="Compact"/>
                    <w:jc w:val="center"/>
                    <w:jc w:val="center"/>
                  </w:pPr>
                  <w:r>
                    <w:t xml:space="preserve">89°</w:t>
                  </w:r>
                </w:p>
              </w:tc>
              <w:tc>
                <w:tcPr/>
                <w:p>
                  <w:pPr>
                    <w:pStyle w:val="Compact"/>
                    <w:jc w:val="center"/>
                    <w:jc w:val="center"/>
                  </w:pPr>
                  <w:r>
                    <w:t xml:space="preserve">SBSC</w:t>
                  </w:r>
                </w:p>
              </w:tc>
              <w:tc>
                <w:tcPr/>
                <w:p>
                  <w:pPr>
                    <w:pStyle w:val="Compact"/>
                    <w:jc w:val="center"/>
                    <w:jc w:val="center"/>
                  </w:pPr>
                  <w:r>
                    <w:t xml:space="preserve">Base Aérea de Santa Cruz</w:t>
                  </w:r>
                </w:p>
              </w:tc>
              <w:tc>
                <w:tcPr/>
                <w:p>
                  <w:pPr>
                    <w:pStyle w:val="Compact"/>
                    <w:jc w:val="center"/>
                    <w:jc w:val="center"/>
                  </w:pPr>
                  <w:r>
                    <w:t xml:space="preserve">3945</w:t>
                  </w:r>
                </w:p>
              </w:tc>
              <w:tc>
                <w:tcPr/>
                <w:p>
                  <w:pPr>
                    <w:pStyle w:val="Compact"/>
                    <w:jc w:val="center"/>
                    <w:jc w:val="center"/>
                  </w:pPr>
                  <w:r>
                    <w:t xml:space="preserve">2956</w:t>
                  </w:r>
                </w:p>
              </w:tc>
              <w:tc>
                <w:tcPr/>
                <w:p>
                  <w:pPr>
                    <w:pStyle w:val="Compact"/>
                    <w:jc w:val="center"/>
                    <w:jc w:val="center"/>
                  </w:pPr>
                  <w:r>
                    <w:t xml:space="preserve">-989</w:t>
                  </w:r>
                </w:p>
              </w:tc>
              <w:tc>
                <w:tcPr/>
                <w:p>
                  <w:pPr>
                    <w:pStyle w:val="Compact"/>
                    <w:jc w:val="center"/>
                    <w:jc w:val="center"/>
                  </w:pPr>
                  <w:r>
                    <w:t xml:space="preserve">-25.1%</w:t>
                  </w:r>
                </w:p>
              </w:tc>
            </w:tr>
            <w:tr>
              <w:tc>
                <w:tcPr/>
                <w:p>
                  <w:pPr>
                    <w:pStyle w:val="Compact"/>
                    <w:jc w:val="center"/>
                    <w:jc w:val="center"/>
                  </w:pPr>
                  <w:r>
                    <w:t xml:space="preserve">90°</w:t>
                  </w:r>
                </w:p>
              </w:tc>
              <w:tc>
                <w:tcPr/>
                <w:p>
                  <w:pPr>
                    <w:pStyle w:val="Compact"/>
                    <w:jc w:val="center"/>
                    <w:jc w:val="center"/>
                  </w:pPr>
                  <w:r>
                    <w:t xml:space="preserve">SBAF</w:t>
                  </w:r>
                </w:p>
              </w:tc>
              <w:tc>
                <w:tcPr/>
                <w:p>
                  <w:pPr>
                    <w:pStyle w:val="Compact"/>
                    <w:jc w:val="center"/>
                    <w:jc w:val="center"/>
                  </w:pPr>
                  <w:r>
                    <w:t xml:space="preserve">Base Aérea dos Afonsos</w:t>
                  </w:r>
                </w:p>
              </w:tc>
              <w:tc>
                <w:tcPr/>
                <w:p>
                  <w:pPr>
                    <w:pStyle w:val="Compact"/>
                    <w:jc w:val="center"/>
                    <w:jc w:val="center"/>
                  </w:pPr>
                  <w:r>
                    <w:t xml:space="preserve">2935</w:t>
                  </w:r>
                </w:p>
              </w:tc>
              <w:tc>
                <w:tcPr/>
                <w:p>
                  <w:pPr>
                    <w:pStyle w:val="Compact"/>
                    <w:jc w:val="center"/>
                    <w:jc w:val="center"/>
                  </w:pPr>
                  <w:r>
                    <w:t xml:space="preserve">2296</w:t>
                  </w:r>
                </w:p>
              </w:tc>
              <w:tc>
                <w:tcPr/>
                <w:p>
                  <w:pPr>
                    <w:pStyle w:val="Compact"/>
                    <w:jc w:val="center"/>
                    <w:jc w:val="center"/>
                  </w:pPr>
                  <w:r>
                    <w:t xml:space="preserve">-639</w:t>
                  </w:r>
                </w:p>
              </w:tc>
              <w:tc>
                <w:tcPr/>
                <w:p>
                  <w:pPr>
                    <w:pStyle w:val="Compact"/>
                    <w:jc w:val="center"/>
                    <w:jc w:val="center"/>
                  </w:pPr>
                  <w:r>
                    <w:t xml:space="preserve">-21.8%</w:t>
                  </w:r>
                </w:p>
              </w:tc>
            </w:tr>
            <w:tr>
              <w:tc>
                <w:tcPr/>
                <w:p>
                  <w:pPr>
                    <w:pStyle w:val="Compact"/>
                    <w:jc w:val="center"/>
                    <w:jc w:val="center"/>
                  </w:pPr>
                  <w:r>
                    <w:t xml:space="preserve">91°</w:t>
                  </w:r>
                </w:p>
              </w:tc>
              <w:tc>
                <w:tcPr/>
                <w:p>
                  <w:pPr>
                    <w:pStyle w:val="Compact"/>
                    <w:jc w:val="center"/>
                    <w:jc w:val="center"/>
                  </w:pPr>
                  <w:r>
                    <w:t xml:space="preserve">SBVH</w:t>
                  </w:r>
                </w:p>
              </w:tc>
              <w:tc>
                <w:tcPr/>
                <w:p>
                  <w:pPr>
                    <w:pStyle w:val="Compact"/>
                    <w:jc w:val="center"/>
                    <w:jc w:val="center"/>
                  </w:pPr>
                  <w:r>
                    <w:t xml:space="preserve">Vilhena</w:t>
                  </w:r>
                </w:p>
              </w:tc>
              <w:tc>
                <w:tcPr/>
                <w:p>
                  <w:pPr>
                    <w:pStyle w:val="Compact"/>
                    <w:jc w:val="center"/>
                    <w:jc w:val="center"/>
                  </w:pPr>
                  <w:r>
                    <w:t xml:space="preserve">2497</w:t>
                  </w:r>
                </w:p>
              </w:tc>
              <w:tc>
                <w:tcPr/>
                <w:p>
                  <w:pPr>
                    <w:pStyle w:val="Compact"/>
                    <w:jc w:val="center"/>
                    <w:jc w:val="center"/>
                  </w:pPr>
                  <w:r>
                    <w:t xml:space="preserve">2248</w:t>
                  </w:r>
                </w:p>
              </w:tc>
              <w:tc>
                <w:tcPr/>
                <w:p>
                  <w:pPr>
                    <w:pStyle w:val="Compact"/>
                    <w:jc w:val="center"/>
                    <w:jc w:val="center"/>
                  </w:pPr>
                  <w:r>
                    <w:t xml:space="preserve">-249</w:t>
                  </w:r>
                </w:p>
              </w:tc>
              <w:tc>
                <w:tcPr/>
                <w:p>
                  <w:pPr>
                    <w:pStyle w:val="Compact"/>
                    <w:jc w:val="center"/>
                    <w:jc w:val="center"/>
                  </w:pPr>
                  <w:r>
                    <w:t xml:space="preserve">-10%</w:t>
                  </w:r>
                </w:p>
              </w:tc>
            </w:tr>
            <w:tr>
              <w:tc>
                <w:tcPr/>
                <w:p>
                  <w:pPr>
                    <w:pStyle w:val="Compact"/>
                    <w:jc w:val="center"/>
                    <w:jc w:val="center"/>
                  </w:pPr>
                  <w:r>
                    <w:t xml:space="preserve">92°</w:t>
                  </w:r>
                </w:p>
              </w:tc>
              <w:tc>
                <w:tcPr/>
                <w:p>
                  <w:pPr>
                    <w:pStyle w:val="Compact"/>
                    <w:jc w:val="center"/>
                    <w:jc w:val="center"/>
                  </w:pPr>
                  <w:r>
                    <w:t xml:space="preserve">SBCP</w:t>
                  </w:r>
                </w:p>
              </w:tc>
              <w:tc>
                <w:tcPr/>
                <w:p>
                  <w:pPr>
                    <w:pStyle w:val="Compact"/>
                    <w:jc w:val="center"/>
                    <w:jc w:val="center"/>
                  </w:pPr>
                  <w:r>
                    <w:t xml:space="preserve">Campos</w:t>
                  </w:r>
                </w:p>
              </w:tc>
              <w:tc>
                <w:tcPr/>
                <w:p>
                  <w:pPr>
                    <w:pStyle w:val="Compact"/>
                    <w:jc w:val="center"/>
                    <w:jc w:val="center"/>
                  </w:pPr>
                  <w:r>
                    <w:t xml:space="preserve">4096</w:t>
                  </w:r>
                </w:p>
              </w:tc>
              <w:tc>
                <w:tcPr/>
                <w:p>
                  <w:pPr>
                    <w:pStyle w:val="Compact"/>
                    <w:jc w:val="center"/>
                    <w:jc w:val="center"/>
                  </w:pPr>
                  <w:r>
                    <w:t xml:space="preserve">1893</w:t>
                  </w:r>
                </w:p>
              </w:tc>
              <w:tc>
                <w:tcPr/>
                <w:p>
                  <w:pPr>
                    <w:pStyle w:val="Compact"/>
                    <w:jc w:val="center"/>
                    <w:jc w:val="center"/>
                  </w:pPr>
                  <w:r>
                    <w:t xml:space="preserve">-2203</w:t>
                  </w:r>
                </w:p>
              </w:tc>
              <w:tc>
                <w:tcPr/>
                <w:p>
                  <w:pPr>
                    <w:pStyle w:val="Compact"/>
                    <w:jc w:val="center"/>
                    <w:jc w:val="center"/>
                  </w:pPr>
                  <w:r>
                    <w:t xml:space="preserve">-53.8%</w:t>
                  </w:r>
                </w:p>
              </w:tc>
            </w:tr>
            <w:tr>
              <w:tc>
                <w:tcPr/>
                <w:p>
                  <w:pPr>
                    <w:pStyle w:val="Compact"/>
                    <w:jc w:val="center"/>
                    <w:jc w:val="center"/>
                  </w:pPr>
                  <w:r>
                    <w:t xml:space="preserve">93°</w:t>
                  </w:r>
                </w:p>
              </w:tc>
              <w:tc>
                <w:tcPr/>
                <w:p>
                  <w:pPr>
                    <w:pStyle w:val="Compact"/>
                    <w:jc w:val="center"/>
                    <w:jc w:val="center"/>
                  </w:pPr>
                  <w:r>
                    <w:t xml:space="preserve">SBCR</w:t>
                  </w:r>
                </w:p>
              </w:tc>
              <w:tc>
                <w:tcPr/>
                <w:p>
                  <w:pPr>
                    <w:pStyle w:val="Compact"/>
                    <w:jc w:val="center"/>
                    <w:jc w:val="center"/>
                  </w:pPr>
                  <w:r>
                    <w:t xml:space="preserve">Corumbá</w:t>
                  </w:r>
                </w:p>
              </w:tc>
              <w:tc>
                <w:tcPr/>
                <w:p>
                  <w:pPr>
                    <w:pStyle w:val="Compact"/>
                    <w:jc w:val="center"/>
                    <w:jc w:val="center"/>
                  </w:pPr>
                  <w:r>
                    <w:t xml:space="preserve">2998</w:t>
                  </w:r>
                </w:p>
              </w:tc>
              <w:tc>
                <w:tcPr/>
                <w:p>
                  <w:pPr>
                    <w:pStyle w:val="Compact"/>
                    <w:jc w:val="center"/>
                    <w:jc w:val="center"/>
                  </w:pPr>
                  <w:r>
                    <w:t xml:space="preserve">1753</w:t>
                  </w:r>
                </w:p>
              </w:tc>
              <w:tc>
                <w:tcPr/>
                <w:p>
                  <w:pPr>
                    <w:pStyle w:val="Compact"/>
                    <w:jc w:val="center"/>
                    <w:jc w:val="center"/>
                  </w:pPr>
                  <w:r>
                    <w:t xml:space="preserve">-1245</w:t>
                  </w:r>
                </w:p>
              </w:tc>
              <w:tc>
                <w:tcPr/>
                <w:p>
                  <w:pPr>
                    <w:pStyle w:val="Compact"/>
                    <w:jc w:val="center"/>
                    <w:jc w:val="center"/>
                  </w:pPr>
                  <w:r>
                    <w:t xml:space="preserve">-41.5%</w:t>
                  </w:r>
                </w:p>
              </w:tc>
            </w:tr>
            <w:tr>
              <w:tc>
                <w:tcPr/>
                <w:p>
                  <w:pPr>
                    <w:pStyle w:val="Compact"/>
                    <w:jc w:val="center"/>
                    <w:jc w:val="center"/>
                  </w:pPr>
                  <w:r>
                    <w:t xml:space="preserve">94°</w:t>
                  </w:r>
                </w:p>
              </w:tc>
              <w:tc>
                <w:tcPr/>
                <w:p>
                  <w:pPr>
                    <w:pStyle w:val="Compact"/>
                    <w:jc w:val="center"/>
                    <w:jc w:val="center"/>
                  </w:pPr>
                  <w:r>
                    <w:t xml:space="preserve">SBAU</w:t>
                  </w:r>
                </w:p>
              </w:tc>
              <w:tc>
                <w:tcPr/>
                <w:p>
                  <w:pPr>
                    <w:pStyle w:val="Compact"/>
                    <w:jc w:val="center"/>
                    <w:jc w:val="center"/>
                  </w:pPr>
                  <w:r>
                    <w:t xml:space="preserve">Araçatuba</w:t>
                  </w:r>
                </w:p>
              </w:tc>
              <w:tc>
                <w:tcPr/>
                <w:p>
                  <w:pPr>
                    <w:pStyle w:val="Compact"/>
                    <w:jc w:val="center"/>
                    <w:jc w:val="center"/>
                  </w:pPr>
                  <w:r>
                    <w:t xml:space="preserve">1467</w:t>
                  </w:r>
                </w:p>
              </w:tc>
              <w:tc>
                <w:tcPr/>
                <w:p>
                  <w:pPr>
                    <w:pStyle w:val="Compact"/>
                    <w:jc w:val="center"/>
                    <w:jc w:val="center"/>
                  </w:pPr>
                  <w:r>
                    <w:t xml:space="preserve">1296</w:t>
                  </w:r>
                </w:p>
              </w:tc>
              <w:tc>
                <w:tcPr/>
                <w:p>
                  <w:pPr>
                    <w:pStyle w:val="Compact"/>
                    <w:jc w:val="center"/>
                    <w:jc w:val="center"/>
                  </w:pPr>
                  <w:r>
                    <w:t xml:space="preserve">-171</w:t>
                  </w:r>
                </w:p>
              </w:tc>
              <w:tc>
                <w:tcPr/>
                <w:p>
                  <w:pPr>
                    <w:pStyle w:val="Compact"/>
                    <w:jc w:val="center"/>
                    <w:jc w:val="center"/>
                  </w:pPr>
                  <w:r>
                    <w:t xml:space="preserve">-11.7%</w:t>
                  </w:r>
                </w:p>
              </w:tc>
            </w:tr>
            <w:tr>
              <w:tc>
                <w:tcPr/>
                <w:p>
                  <w:pPr>
                    <w:pStyle w:val="Compact"/>
                    <w:jc w:val="center"/>
                    <w:jc w:val="center"/>
                  </w:pPr>
                  <w:r>
                    <w:t xml:space="preserve">95°</w:t>
                  </w:r>
                </w:p>
              </w:tc>
              <w:tc>
                <w:tcPr/>
                <w:p>
                  <w:pPr>
                    <w:pStyle w:val="Compact"/>
                    <w:jc w:val="center"/>
                    <w:jc w:val="center"/>
                  </w:pPr>
                  <w:r>
                    <w:t xml:space="preserve">SBLS</w:t>
                  </w:r>
                </w:p>
              </w:tc>
              <w:tc>
                <w:tcPr/>
                <w:p>
                  <w:pPr>
                    <w:pStyle w:val="Compact"/>
                    <w:jc w:val="center"/>
                    <w:jc w:val="center"/>
                  </w:pPr>
                  <w:r>
                    <w:t xml:space="preserve">Lagoa Santa</w:t>
                  </w:r>
                </w:p>
              </w:tc>
              <w:tc>
                <w:tcPr/>
                <w:p>
                  <w:pPr>
                    <w:pStyle w:val="Compact"/>
                    <w:jc w:val="center"/>
                    <w:jc w:val="center"/>
                  </w:pPr>
                  <w:r>
                    <w:t xml:space="preserve">1086</w:t>
                  </w:r>
                </w:p>
              </w:tc>
              <w:tc>
                <w:tcPr/>
                <w:p>
                  <w:pPr>
                    <w:pStyle w:val="Compact"/>
                    <w:jc w:val="center"/>
                    <w:jc w:val="center"/>
                  </w:pPr>
                  <w:r>
                    <w:t xml:space="preserve">1020</w:t>
                  </w:r>
                </w:p>
              </w:tc>
              <w:tc>
                <w:tcPr/>
                <w:p>
                  <w:pPr>
                    <w:pStyle w:val="Compact"/>
                    <w:jc w:val="center"/>
                    <w:jc w:val="center"/>
                  </w:pPr>
                  <w:r>
                    <w:t xml:space="preserve">-66</w:t>
                  </w:r>
                </w:p>
              </w:tc>
              <w:tc>
                <w:tcPr/>
                <w:p>
                  <w:pPr>
                    <w:pStyle w:val="Compact"/>
                    <w:jc w:val="center"/>
                    <w:jc w:val="center"/>
                  </w:pPr>
                  <w:r>
                    <w:t xml:space="preserve">-6.1%</w:t>
                  </w:r>
                </w:p>
              </w:tc>
            </w:tr>
            <w:tr>
              <w:tc>
                <w:tcPr/>
                <w:p>
                  <w:pPr>
                    <w:pStyle w:val="Compact"/>
                    <w:jc w:val="center"/>
                    <w:jc w:val="center"/>
                  </w:pPr>
                  <w:r>
                    <w:t xml:space="preserve">96°</w:t>
                  </w:r>
                </w:p>
              </w:tc>
              <w:tc>
                <w:tcPr/>
                <w:p>
                  <w:pPr>
                    <w:pStyle w:val="Compact"/>
                    <w:jc w:val="center"/>
                    <w:jc w:val="center"/>
                  </w:pPr>
                  <w:r>
                    <w:t xml:space="preserve">SBRD</w:t>
                  </w:r>
                </w:p>
              </w:tc>
              <w:tc>
                <w:tcPr/>
                <w:p>
                  <w:pPr>
                    <w:pStyle w:val="Compact"/>
                    <w:jc w:val="center"/>
                    <w:jc w:val="center"/>
                  </w:pPr>
                  <w:r>
                    <w:t xml:space="preserve">MAESTRO MARINHO FRANCO</w:t>
                  </w:r>
                </w:p>
              </w:tc>
              <w:tc>
                <w:tcPr/>
                <w:p>
                  <w:pPr>
                    <w:pStyle w:val="Compact"/>
                    <w:jc w:val="center"/>
                    <w:jc w:val="center"/>
                  </w:pPr>
                  <w:r>
                    <w:t xml:space="preserve">2992</w:t>
                  </w:r>
                </w:p>
              </w:tc>
              <w:tc>
                <w:tcPr/>
                <w:p>
                  <w:pPr>
                    <w:pStyle w:val="Compact"/>
                    <w:jc w:val="center"/>
                    <w:jc w:val="center"/>
                  </w:pPr>
                  <w:r>
                    <w:t xml:space="preserve">1004</w:t>
                  </w:r>
                </w:p>
              </w:tc>
              <w:tc>
                <w:tcPr/>
                <w:p>
                  <w:pPr>
                    <w:pStyle w:val="Compact"/>
                    <w:jc w:val="center"/>
                    <w:jc w:val="center"/>
                  </w:pPr>
                  <w:r>
                    <w:t xml:space="preserve">-1988</w:t>
                  </w:r>
                </w:p>
              </w:tc>
              <w:tc>
                <w:tcPr/>
                <w:p>
                  <w:pPr>
                    <w:pStyle w:val="Compact"/>
                    <w:jc w:val="center"/>
                    <w:jc w:val="center"/>
                  </w:pPr>
                  <w:r>
                    <w:t xml:space="preserve">-66.4%</w:t>
                  </w:r>
                </w:p>
              </w:tc>
            </w:tr>
            <w:tr>
              <w:tc>
                <w:tcPr/>
                <w:p>
                  <w:pPr>
                    <w:pStyle w:val="Compact"/>
                    <w:jc w:val="center"/>
                    <w:jc w:val="center"/>
                  </w:pPr>
                  <w:r>
                    <w:t xml:space="preserve">97°</w:t>
                  </w:r>
                </w:p>
              </w:tc>
              <w:tc>
                <w:tcPr/>
                <w:p>
                  <w:pPr>
                    <w:pStyle w:val="Compact"/>
                    <w:jc w:val="center"/>
                    <w:jc w:val="center"/>
                  </w:pPr>
                  <w:r>
                    <w:t xml:space="preserve">SBUG</w:t>
                  </w:r>
                </w:p>
              </w:tc>
              <w:tc>
                <w:tcPr/>
                <w:p>
                  <w:pPr>
                    <w:pStyle w:val="Compact"/>
                    <w:jc w:val="center"/>
                    <w:jc w:val="center"/>
                  </w:pPr>
                  <w:r>
                    <w:t xml:space="preserve">Uruguaiana</w:t>
                  </w:r>
                </w:p>
              </w:tc>
              <w:tc>
                <w:tcPr/>
                <w:p>
                  <w:pPr>
                    <w:pStyle w:val="Compact"/>
                    <w:jc w:val="center"/>
                    <w:jc w:val="center"/>
                  </w:pPr>
                  <w:r>
                    <w:t xml:space="preserve">825</w:t>
                  </w:r>
                </w:p>
              </w:tc>
              <w:tc>
                <w:tcPr/>
                <w:p>
                  <w:pPr>
                    <w:pStyle w:val="Compact"/>
                    <w:jc w:val="center"/>
                    <w:jc w:val="center"/>
                  </w:pPr>
                  <w:r>
                    <w:t xml:space="preserve">785</w:t>
                  </w:r>
                </w:p>
              </w:tc>
              <w:tc>
                <w:tcPr/>
                <w:p>
                  <w:pPr>
                    <w:pStyle w:val="Compact"/>
                    <w:jc w:val="center"/>
                    <w:jc w:val="center"/>
                  </w:pPr>
                  <w:r>
                    <w:t xml:space="preserve">-40</w:t>
                  </w:r>
                </w:p>
              </w:tc>
              <w:tc>
                <w:tcPr/>
                <w:p>
                  <w:pPr>
                    <w:pStyle w:val="Compact"/>
                    <w:jc w:val="center"/>
                    <w:jc w:val="center"/>
                  </w:pPr>
                  <w:r>
                    <w:t xml:space="preserve">-4.8%</w:t>
                  </w:r>
                </w:p>
              </w:tc>
            </w:tr>
            <w:tr>
              <w:tc>
                <w:tcPr/>
                <w:p>
                  <w:pPr>
                    <w:pStyle w:val="Compact"/>
                    <w:jc w:val="center"/>
                    <w:jc w:val="center"/>
                  </w:pPr>
                  <w:r>
                    <w:t xml:space="preserve">98°</w:t>
                  </w:r>
                </w:p>
              </w:tc>
              <w:tc>
                <w:tcPr/>
                <w:p>
                  <w:pPr>
                    <w:pStyle w:val="Compact"/>
                    <w:jc w:val="center"/>
                    <w:jc w:val="center"/>
                  </w:pPr>
                  <w:r>
                    <w:t xml:space="preserve">SBST</w:t>
                  </w:r>
                </w:p>
              </w:tc>
              <w:tc>
                <w:tcPr/>
                <w:p>
                  <w:pPr>
                    <w:pStyle w:val="Compact"/>
                    <w:jc w:val="center"/>
                    <w:jc w:val="center"/>
                  </w:pPr>
                  <w:r>
                    <w:t xml:space="preserve">Base Aérea de Santos</w:t>
                  </w:r>
                </w:p>
              </w:tc>
              <w:tc>
                <w:tcPr/>
                <w:p>
                  <w:pPr>
                    <w:pStyle w:val="Compact"/>
                    <w:jc w:val="center"/>
                    <w:jc w:val="center"/>
                  </w:pPr>
                  <w:r>
                    <w:t xml:space="preserve">278</w:t>
                  </w:r>
                </w:p>
              </w:tc>
              <w:tc>
                <w:tcPr/>
                <w:p>
                  <w:pPr>
                    <w:pStyle w:val="Compact"/>
                    <w:jc w:val="center"/>
                    <w:jc w:val="center"/>
                  </w:pPr>
                  <w:r>
                    <w:t xml:space="preserve">448</w:t>
                  </w:r>
                </w:p>
              </w:tc>
              <w:tc>
                <w:tcPr/>
                <w:p>
                  <w:pPr>
                    <w:pStyle w:val="Compact"/>
                    <w:jc w:val="center"/>
                    <w:jc w:val="center"/>
                  </w:pPr>
                  <w:r>
                    <w:t xml:space="preserve">170</w:t>
                  </w:r>
                </w:p>
              </w:tc>
              <w:tc>
                <w:tcPr/>
                <w:p>
                  <w:pPr>
                    <w:pStyle w:val="Compact"/>
                    <w:jc w:val="center"/>
                    <w:jc w:val="center"/>
                  </w:pPr>
                  <w:r>
                    <w:t xml:space="preserve">61.2%</w:t>
                  </w:r>
                </w:p>
              </w:tc>
            </w:tr>
            <w:tr>
              <w:tc>
                <w:tcPr/>
                <w:p>
                  <w:pPr>
                    <w:pStyle w:val="Compact"/>
                    <w:jc w:val="center"/>
                    <w:jc w:val="center"/>
                  </w:pPr>
                  <w:r>
                    <w:t xml:space="preserve">99°</w:t>
                  </w:r>
                </w:p>
              </w:tc>
              <w:tc>
                <w:tcPr/>
                <w:p>
                  <w:pPr>
                    <w:pStyle w:val="Compact"/>
                    <w:jc w:val="center"/>
                    <w:jc w:val="center"/>
                  </w:pPr>
                  <w:r>
                    <w:t xml:space="preserve">SBPR</w:t>
                  </w:r>
                </w:p>
              </w:tc>
              <w:tc>
                <w:tcPr/>
                <w:p>
                  <w:pPr>
                    <w:pStyle w:val="Compact"/>
                    <w:jc w:val="center"/>
                    <w:jc w:val="center"/>
                  </w:pPr>
                  <w:r>
                    <w:t xml:space="preserve">Carlos Prates</w:t>
                  </w:r>
                </w:p>
              </w:tc>
              <w:tc>
                <w:tcPr/>
                <w:p>
                  <w:pPr>
                    <w:pStyle w:val="Compact"/>
                    <w:jc w:val="center"/>
                    <w:jc w:val="center"/>
                  </w:pPr>
                  <w:r>
                    <w:t xml:space="preserve">0</w:t>
                  </w:r>
                </w:p>
              </w:tc>
              <w:tc>
                <w:tcPr/>
                <w:p>
                  <w:pPr>
                    <w:pStyle w:val="Compact"/>
                    <w:jc w:val="center"/>
                    <w:jc w:val="center"/>
                  </w:pPr>
                  <w:r>
                    <w:t xml:space="preserve">0</w:t>
                  </w:r>
                </w:p>
              </w:tc>
              <w:tc>
                <w:tcPr/>
                <w:p>
                  <w:pPr>
                    <w:pStyle w:val="Compact"/>
                    <w:jc w:val="center"/>
                    <w:jc w:val="center"/>
                  </w:pPr>
                  <w:r>
                    <w:t xml:space="preserve">0</w:t>
                  </w:r>
                </w:p>
              </w:tc>
              <w:tc>
                <w:tcPr/>
                <w:p>
                  <w:pPr>
                    <w:pStyle w:val="Compact"/>
                    <w:jc w:val="center"/>
                    <w:jc w:val="center"/>
                  </w:pPr>
                  <w:r>
                    <w:t xml:space="preserve">0%</w:t>
                  </w:r>
                </w:p>
              </w:tc>
            </w:tr>
            <w:tr>
              <w:tc>
                <w:tcPr/>
                <w:p>
                  <w:pPr>
                    <w:pStyle w:val="Compact"/>
                    <w:jc w:val="center"/>
                    <w:jc w:val="center"/>
                  </w:pPr>
                  <w:r>
                    <w:t xml:space="preserve">100°</w:t>
                  </w:r>
                </w:p>
              </w:tc>
              <w:tc>
                <w:tcPr/>
                <w:p>
                  <w:pPr>
                    <w:pStyle w:val="Compact"/>
                    <w:jc w:val="center"/>
                    <w:jc w:val="center"/>
                  </w:pPr>
                  <w:r>
                    <w:t xml:space="preserve">SWGI</w:t>
                  </w:r>
                </w:p>
              </w:tc>
              <w:tc>
                <w:tcPr/>
                <w:p>
                  <w:pPr>
                    <w:pStyle w:val="Compact"/>
                    <w:jc w:val="center"/>
                    <w:jc w:val="center"/>
                  </w:pPr>
                  <w:r>
                    <w:t xml:space="preserve">Aeródromo Gurupi</w:t>
                  </w:r>
                </w:p>
              </w:tc>
              <w:tc>
                <w:tcPr/>
                <w:p>
                  <w:pPr>
                    <w:pStyle w:val="Compact"/>
                    <w:jc w:val="center"/>
                    <w:jc w:val="center"/>
                  </w:pPr>
                  <w:r>
                    <w:t xml:space="preserve">0</w:t>
                  </w:r>
                </w:p>
              </w:tc>
              <w:tc>
                <w:tcPr/>
                <w:p>
                  <w:pPr>
                    <w:pStyle w:val="Compact"/>
                    <w:jc w:val="center"/>
                    <w:jc w:val="center"/>
                  </w:pPr>
                  <w:r>
                    <w:t xml:space="preserve">0</w:t>
                  </w:r>
                </w:p>
              </w:tc>
              <w:tc>
                <w:tcPr/>
                <w:p>
                  <w:pPr>
                    <w:pStyle w:val="Compact"/>
                    <w:jc w:val="center"/>
                    <w:jc w:val="center"/>
                  </w:pPr>
                  <w:r>
                    <w:t xml:space="preserve">0</w:t>
                  </w:r>
                </w:p>
              </w:tc>
              <w:tc>
                <w:tcPr/>
                <w:p>
                  <w:pPr>
                    <w:pStyle w:val="Compact"/>
                    <w:jc w:val="center"/>
                    <w:jc w:val="center"/>
                  </w:pPr>
                  <w:r>
                    <w:t xml:space="preserve">0%</w:t>
                  </w:r>
                </w:p>
              </w:tc>
            </w:tr>
          </w:tbl>
          <w:bookmarkEnd w:id="79"/>
          <w:p/>
        </w:tc>
      </w:tr>
    </w:tbl>
    <w:bookmarkEnd w:id="80"/>
    <w:bookmarkStart w:id="89" w:name="participação-de-movimentos-por-fir"/>
    <w:p>
      <w:pPr>
        <w:pStyle w:val="Ttulo3"/>
      </w:pPr>
      <w:r>
        <w:t xml:space="preserve">2.2.3 PARTICIPAÇÃO DE MOVIMENTOS POR FIR</w:t>
      </w:r>
    </w:p>
    <w:p>
      <w:pPr>
        <w:pStyle w:val="FirstParagraph"/>
      </w:pPr>
      <w:r>
        <w:t xml:space="preserve">Além da distribuição quantitativa, a</w:t>
      </w:r>
      <w:r>
        <w:t xml:space="preserve"> </w:t>
      </w:r>
      <w:hyperlink w:anchor="fig-mov-fir">
        <w:r>
          <w:rPr>
            <w:rStyle w:val="Hyperlink"/>
          </w:rPr>
          <w:t xml:space="preserve">Figura 2.6</w:t>
        </w:r>
      </w:hyperlink>
      <w:r>
        <w:t xml:space="preserve"> </w:t>
      </w:r>
      <w:r>
        <w:t xml:space="preserve">revela uma convergência entre as FIRs Recife e Amazônica, que operaram com volumes similares apesar das diferentes complexidades geográficas. A FIR Atlântico manteve a estabilidade característica do tráfego transoceânico, enquanto a FIR Curitiba apresentou uma aceleração expressiva no segundo semestre.</w:t>
      </w:r>
    </w:p>
    <w:p>
      <w:pPr>
        <w:pStyle w:val="Corpodetexto"/>
      </w:pPr>
      <w:r>
        <w:t xml:space="preserve">O movimento na FIR Brasília se manteve acima do registrado nas demais regiões. No primeiro quadrimestre, apenas o mês de fevereiro (o mais curto do ano) ficou abaixo de 55 mil movimentos. A partir de maio, todos os meses superaram os 59 mil movimentos. Apesar da diferença em termos quantitativos, o gráfico que apresenta os resultados mensais indica uma dinâmica semelhante nas FIR Brasília e Curitiba - ainda que os picos tenham sido registrados, respectivamente, em julho e dezembro.</w:t>
      </w:r>
    </w:p>
    <w:p>
      <w:pPr>
        <w:pStyle w:val="Corpodetexto"/>
      </w:pPr>
      <w:r>
        <w:t xml:space="preserve">Essa concentração no eixo Centro-Sul, que totaliza mais de 1,2 milhão de movimentos anuais, ratifica a necessidade de uma gestão de fluxo (ATFM) dinâmica para sustentar a maturidade operacional e a segurança do SISCEAB.</w:t>
      </w:r>
    </w:p>
    <w:tbl>
      <w:tblPr>
        <w:tblStyle w:val="Table"/>
        <w:tblW w:type="pct" w:w="5000"/>
        <w:tblLayout w:type="fixed"/>
        <w:tblLook w:firstRow="0" w:lastRow="0" w:firstColumn="0" w:lastColumn="0" w:noHBand="0" w:noVBand="0" w:val="0000"/>
      </w:tblPr>
      <w:tblGrid>
        <w:gridCol w:w="7920"/>
      </w:tblGrid>
      <w:tr>
        <w:tc>
          <w:tcPr/>
          <w:bookmarkStart w:id="84" w:name="fig-mov-fir"/>
          <w:p>
            <w:pPr>
              <w:pStyle w:val="Compact"/>
              <w:jc w:val="center"/>
            </w:pPr>
            <w:r>
              <w:drawing>
                <wp:inline>
                  <wp:extent cx="6642100" cy="3985260"/>
                  <wp:effectExtent b="0" l="0" r="0" t="0"/>
                  <wp:docPr descr="" title="" id="82" name="Picture"/>
                  <a:graphic>
                    <a:graphicData uri="http://schemas.openxmlformats.org/drawingml/2006/picture">
                      <pic:pic>
                        <pic:nvPicPr>
                          <pic:cNvPr descr="02-CaracteristicadoSisceab_files/figure-docx/fig-mov-fir-1.png" id="83" name="Picture"/>
                          <pic:cNvPicPr>
                            <a:picLocks noChangeArrowheads="1" noChangeAspect="1"/>
                          </pic:cNvPicPr>
                        </pic:nvPicPr>
                        <pic:blipFill>
                          <a:blip r:embed="rId81"/>
                          <a:stretch>
                            <a:fillRect/>
                          </a:stretch>
                        </pic:blipFill>
                        <pic:spPr bwMode="auto">
                          <a:xfrm>
                            <a:off x="0" y="0"/>
                            <a:ext cx="6642100" cy="3985260"/>
                          </a:xfrm>
                          <a:prstGeom prst="rect">
                            <a:avLst/>
                          </a:prstGeom>
                          <a:noFill/>
                          <a:ln w="9525">
                            <a:noFill/>
                            <a:headEnd/>
                            <a:tailEnd/>
                          </a:ln>
                        </pic:spPr>
                      </pic:pic>
                    </a:graphicData>
                  </a:graphic>
                </wp:inline>
              </w:drawing>
            </w:r>
          </w:p>
          <w:p>
            <w:pPr>
              <w:jc w:val="center"/>
            </w:pPr>
            <w:pPr>
              <w:jc w:val="left"/>
              <w:spacing w:before="200"/>
              <w:pStyle w:val="ImageCaption"/>
            </w:pPr>
            <w:r>
              <w:t xml:space="preserve">Figura 2.6: Movimentos por FIR</w:t>
            </w:r>
          </w:p>
          <w:bookmarkEnd w:id="84"/>
        </w:tc>
      </w:tr>
    </w:tbl>
    <w:tbl>
      <w:tblPr>
        <w:tblStyle w:val="Table"/>
        <w:tblW w:type="pct" w:w="5000"/>
        <w:tblLayout w:type="fixed"/>
        <w:tblLook w:firstRow="0" w:lastRow="0" w:firstColumn="0" w:lastColumn="0" w:noHBand="0" w:noVBand="0" w:val="0000"/>
      </w:tblPr>
      <w:tblGrid>
        <w:gridCol w:w="7920"/>
      </w:tblGrid>
      <w:tr>
        <w:tc>
          <w:tcPr/>
          <w:bookmarkStart w:id="88" w:name="fig-share"/>
          <w:p>
            <w:pPr>
              <w:pStyle w:val="Compact"/>
              <w:jc w:val="center"/>
            </w:pPr>
            <w:r>
              <w:drawing>
                <wp:inline>
                  <wp:extent cx="6642100" cy="2878243"/>
                  <wp:effectExtent b="0" l="0" r="0" t="0"/>
                  <wp:docPr descr="" title="" id="86" name="Picture"/>
                  <a:graphic>
                    <a:graphicData uri="http://schemas.openxmlformats.org/drawingml/2006/picture">
                      <pic:pic>
                        <pic:nvPicPr>
                          <pic:cNvPr descr="02-CaracteristicadoSisceab_files/figure-docx/fig-share-1.png" id="87" name="Picture"/>
                          <pic:cNvPicPr>
                            <a:picLocks noChangeArrowheads="1" noChangeAspect="1"/>
                          </pic:cNvPicPr>
                        </pic:nvPicPr>
                        <pic:blipFill>
                          <a:blip r:embed="rId85"/>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2.7:</w:t>
            </w:r>
            <w:r>
              <w:t xml:space="preserve"> </w:t>
            </w:r>
            <w:r>
              <w:rPr>
                <w:i/>
                <w:iCs/>
              </w:rPr>
              <w:t xml:space="preserve">Share</w:t>
            </w:r>
            <w:r>
              <w:t xml:space="preserve"> </w:t>
            </w:r>
            <w:r>
              <w:t xml:space="preserve">dos segmentos de aviação por FIR</w:t>
            </w:r>
          </w:p>
          <w:bookmarkEnd w:id="88"/>
        </w:tc>
      </w:tr>
    </w:tbl>
    <w:p>
      <w:pPr>
        <w:pStyle w:val="Corpodetexto"/>
      </w:pPr>
      <w:r>
        <w:t xml:space="preserve">A distribuição do tráfego aéreo ao longo de 2025, ilustrada na</w:t>
      </w:r>
      <w:r>
        <w:t xml:space="preserve"> </w:t>
      </w:r>
      <w:hyperlink w:anchor="fig-share">
        <w:r>
          <w:rPr>
            <w:rStyle w:val="Hyperlink"/>
          </w:rPr>
          <w:t xml:space="preserve">Figura 2.7</w:t>
        </w:r>
      </w:hyperlink>
      <w:r>
        <w:t xml:space="preserve">, revela uma estrutura estável em que a aviação comercial permanece como a principal protagonista na ocupação do espaço aéreo brasileiro. O setor Comercial manteve uma participação majoritária em todos os meses, variando entre 57,6% e 63,7% do volume total de operações, com picos de representatividade em janeiro e julho. Esse domínio reafirma a centralidade das linhas aéreas regulares na dinâmica do SISCEAB, especialmente nos períodos de alta temporada.</w:t>
      </w:r>
    </w:p>
    <w:p>
      <w:pPr>
        <w:pStyle w:val="Corpodetexto"/>
      </w:pPr>
      <w:r>
        <w:t xml:space="preserve">A Aviação Geral consolidou-se como o segundo maior pilar do sistema, com uma fatia de mercado consistente entre 32,7% e 37,0%. O segmento atingiu seus maiores índices de</w:t>
      </w:r>
      <w:r>
        <w:t xml:space="preserve"> </w:t>
      </w:r>
      <w:r>
        <w:rPr>
          <w:i/>
          <w:iCs/>
        </w:rPr>
        <w:t xml:space="preserve">share</w:t>
      </w:r>
      <w:r>
        <w:t xml:space="preserve"> </w:t>
      </w:r>
      <w:r>
        <w:t xml:space="preserve">em agosto e novembro, evidenciando sua importância para a capilaridade e conectividade nacional de forma complementar à malha comercial. O segmento Militar completou a composição com uma participação estável entre 3,6% e 6,5%, apresentando seu maior índice em maio.</w:t>
      </w:r>
    </w:p>
    <w:bookmarkEnd w:id="89"/>
    <w:bookmarkStart w:id="95" w:name="rotas-mais-voadas-pela-aviação-comercial"/>
    <w:p>
      <w:pPr>
        <w:pStyle w:val="Ttulo3"/>
      </w:pPr>
      <w:r>
        <w:t xml:space="preserve">2.2.4 ROTAS MAIS VOADAS PELA AVIAÇÃO COMERCIAL</w:t>
      </w:r>
    </w:p>
    <w:p>
      <w:pPr>
        <w:pStyle w:val="FirstParagraph"/>
      </w:pPr>
      <w:r>
        <w:t xml:space="preserve">O detalhamento das 40 conexões mais voadas em 2025, apresentado na</w:t>
      </w:r>
      <w:r>
        <w:t xml:space="preserve"> </w:t>
      </w:r>
      <w:hyperlink w:anchor="fig-rotas-mais-voadas">
        <w:r>
          <w:rPr>
            <w:rStyle w:val="Hyperlink"/>
          </w:rPr>
          <w:t xml:space="preserve">Figura 2.8</w:t>
        </w:r>
      </w:hyperlink>
      <w:r>
        <w:t xml:space="preserve"> </w:t>
      </w:r>
      <w:r>
        <w:t xml:space="preserve">e na Tabela 2.6, evidencia a forte concentração de tráfego nos polos econômicos do Sudeste. A ponte aérea entre Congonhas e Santos Dumont permanece como o principal corredor do país, com as rotas SBSP-SBRJ e SBRJ-SBSP totalizando mais de 30.500 movimentos no ano. Esse volume exige que o gerenciamento de fluxo atue com janelas de separação mínimas e alta precisão para evitar gargalos nos terminais envolvidos.</w:t>
      </w:r>
    </w:p>
    <w:p>
      <w:pPr>
        <w:pStyle w:val="Corpodetexto"/>
      </w:pPr>
      <w:r>
        <w:t xml:space="preserve">Além do eixo Rio-São Paulo, a malha aérea demonstra uma dependência estratégica de Brasília (SBBR) como ponto de distribuição. A rota SBBR-SBSP, por exemplo, movimentou 8.862 voos, servindo como um elo vital entre o centro político e o maior centro comercial do Brasil. No sentido Sul, a conexão entre Porto Alegre (SBPA) e Congonhas também se destaca com 7.885 operações, enquanto o Aeroporto de Guarulhos (SBGR) se consolida como o grande hub de integração regional, mantendo fluxos intensos para destinos como Recife (6.058) e Belo Horizonte (5.403). Esse mapeamento deixa claro que o sistema lida com uma demanda polarizada, onde a eficiência dos principais aeroportos reflete diretamente na fluidez de toda a rede nacional.</w:t>
      </w:r>
    </w:p>
    <w:tbl>
      <w:tblPr>
        <w:tblStyle w:val="Table"/>
        <w:tblW w:type="pct" w:w="5000"/>
        <w:tblLayout w:type="fixed"/>
        <w:tblLook w:firstRow="0" w:lastRow="0" w:firstColumn="0" w:lastColumn="0" w:noHBand="0" w:noVBand="0" w:val="0000"/>
      </w:tblPr>
      <w:tblGrid>
        <w:gridCol w:w="7920"/>
      </w:tblGrid>
      <w:tr>
        <w:tc>
          <w:tcPr/>
          <w:bookmarkStart w:id="93" w:name="fig-rotas-mais-voadas"/>
          <w:p>
            <w:pPr>
              <w:pStyle w:val="Compact"/>
              <w:jc w:val="center"/>
            </w:pPr>
            <w:r>
              <w:drawing>
                <wp:inline>
                  <wp:extent cx="5977890" cy="3985260"/>
                  <wp:effectExtent b="0" l="0" r="0" t="0"/>
                  <wp:docPr descr="" title="" id="91" name="Picture"/>
                  <a:graphic>
                    <a:graphicData uri="http://schemas.openxmlformats.org/drawingml/2006/picture">
                      <pic:pic>
                        <pic:nvPicPr>
                          <pic:cNvPr descr="02-CaracteristicadoSisceab_files/figure-docx/fig-rotas-mais-voadas-1.png" id="92" name="Picture"/>
                          <pic:cNvPicPr>
                            <a:picLocks noChangeArrowheads="1" noChangeAspect="1"/>
                          </pic:cNvPicPr>
                        </pic:nvPicPr>
                        <pic:blipFill>
                          <a:blip r:embed="rId90"/>
                          <a:stretch>
                            <a:fillRect/>
                          </a:stretch>
                        </pic:blipFill>
                        <pic:spPr bwMode="auto">
                          <a:xfrm>
                            <a:off x="0" y="0"/>
                            <a:ext cx="5977890" cy="3985260"/>
                          </a:xfrm>
                          <a:prstGeom prst="rect">
                            <a:avLst/>
                          </a:prstGeom>
                          <a:noFill/>
                          <a:ln w="9525">
                            <a:noFill/>
                            <a:headEnd/>
                            <a:tailEnd/>
                          </a:ln>
                        </pic:spPr>
                      </pic:pic>
                    </a:graphicData>
                  </a:graphic>
                </wp:inline>
              </w:drawing>
            </w:r>
          </w:p>
          <w:p>
            <w:pPr>
              <w:jc w:val="center"/>
            </w:pPr>
            <w:pPr>
              <w:jc w:val="left"/>
              <w:spacing w:before="200"/>
              <w:pStyle w:val="ImageCaption"/>
            </w:pPr>
            <w:r>
              <w:t xml:space="preserve">Figura 2.8: Rotas mais voadas pela aviação comercial em 2025</w:t>
            </w:r>
          </w:p>
          <w:bookmarkEnd w:id="93"/>
        </w:tc>
      </w:tr>
    </w:tbl>
    <w:tbl>
      <w:tblPr>
        <w:tblStyle w:val="Table"/>
        <w:tblW w:type="pct" w:w="5000"/>
        <w:tblLayout w:type="fixed"/>
        <w:tblLook w:firstRow="0" w:lastRow="0" w:firstColumn="0" w:lastColumn="0" w:noHBand="0" w:noVBand="0" w:val="0000"/>
      </w:tblPr>
      <w:tblGrid>
        <w:gridCol w:w="7920"/>
      </w:tblGrid>
      <w:tr>
        <w:tc>
          <w:tcPr/>
          <w:bookmarkStart w:id="94" w:name="tbl-rotas-mais-voadas"/>
          <w:p>
            <w:pPr>
              <w:jc w:val="center"/>
            </w:pPr>
            <w:pPr>
              <w:jc w:val="left"/>
              <w:spacing w:before="200"/>
              <w:pStyle w:val="ImageCaption"/>
            </w:pPr>
            <w:r>
              <w:t xml:space="preserve">Tabela 2.6: Tabela das rotas mais voadas pela aviação comercial</w:t>
            </w:r>
          </w:p>
          <w:tbl>
            <w:tblPr>
              <w:tblStyle w:val="Table"/>
              <w:tblW w:type="pct" w:w="5000"/>
              <w:tblLayout w:type="fixed"/>
              <w:tblLook w:firstRow="1" w:lastRow="0" w:firstColumn="0" w:lastColumn="0" w:noHBand="0" w:noVBand="0" w:val="0020"/>
            </w:tblPr>
            <w:tblGrid>
              <w:gridCol w:w="1523"/>
              <w:gridCol w:w="812"/>
              <w:gridCol w:w="913"/>
              <w:gridCol w:w="710"/>
              <w:gridCol w:w="710"/>
              <w:gridCol w:w="1116"/>
              <w:gridCol w:w="2132"/>
            </w:tblGrid>
            <w:tr>
              <w:trPr>
                <w:tblHeader w:val="on"/>
              </w:trPr>
              <w:tc>
                <w:tcPr/>
                <w:p>
                  <w:pPr>
                    <w:pStyle w:val="Compact"/>
                    <w:jc w:val="center"/>
                    <w:jc w:val="center"/>
                  </w:pPr>
                  <w:r>
                    <w:t xml:space="preserve">classificação</w:t>
                  </w:r>
                </w:p>
              </w:tc>
              <w:tc>
                <w:tcPr/>
                <w:p>
                  <w:pPr>
                    <w:pStyle w:val="Compact"/>
                    <w:jc w:val="center"/>
                    <w:jc w:val="center"/>
                  </w:pPr>
                  <w:r>
                    <w:t xml:space="preserve">origem</w:t>
                  </w:r>
                </w:p>
              </w:tc>
              <w:tc>
                <w:tcPr/>
                <w:p>
                  <w:pPr>
                    <w:pStyle w:val="Compact"/>
                    <w:jc w:val="center"/>
                    <w:jc w:val="center"/>
                  </w:pPr>
                  <w:r>
                    <w:t xml:space="preserve">destino</w:t>
                  </w:r>
                </w:p>
              </w:tc>
              <w:tc>
                <w:tcPr/>
                <w:p>
                  <w:pPr>
                    <w:pStyle w:val="Compact"/>
                    <w:jc w:val="center"/>
                    <w:jc w:val="center"/>
                  </w:pPr>
                  <w:r>
                    <w:t xml:space="preserve">2024</w:t>
                  </w:r>
                </w:p>
              </w:tc>
              <w:tc>
                <w:tcPr/>
                <w:p>
                  <w:pPr>
                    <w:pStyle w:val="Compact"/>
                    <w:jc w:val="center"/>
                    <w:jc w:val="center"/>
                  </w:pPr>
                  <w:r>
                    <w:t xml:space="preserve">2025</w:t>
                  </w:r>
                </w:p>
              </w:tc>
              <w:tc>
                <w:tcPr/>
                <w:p>
                  <w:pPr>
                    <w:pStyle w:val="Compact"/>
                    <w:jc w:val="center"/>
                    <w:jc w:val="center"/>
                  </w:pPr>
                  <w:r>
                    <w:t xml:space="preserve">diferença</w:t>
                  </w:r>
                </w:p>
              </w:tc>
              <w:tc>
                <w:tcPr/>
                <w:p>
                  <w:pPr>
                    <w:pStyle w:val="Compact"/>
                    <w:jc w:val="center"/>
                    <w:jc w:val="center"/>
                  </w:pPr>
                  <w:r>
                    <w:t xml:space="preserve">variação percentual</w:t>
                  </w:r>
                </w:p>
              </w:tc>
            </w:tr>
            <w:tr>
              <w:tc>
                <w:tcPr/>
                <w:p>
                  <w:pPr>
                    <w:pStyle w:val="Compact"/>
                    <w:jc w:val="center"/>
                    <w:jc w:val="center"/>
                  </w:pPr>
                  <w:r>
                    <w:t xml:space="preserve">1°</w:t>
                  </w:r>
                </w:p>
              </w:tc>
              <w:tc>
                <w:tcPr/>
                <w:p>
                  <w:pPr>
                    <w:pStyle w:val="Compact"/>
                    <w:jc w:val="center"/>
                    <w:jc w:val="center"/>
                  </w:pPr>
                  <w:r>
                    <w:t xml:space="preserve">SBSP</w:t>
                  </w:r>
                </w:p>
              </w:tc>
              <w:tc>
                <w:tcPr/>
                <w:p>
                  <w:pPr>
                    <w:pStyle w:val="Compact"/>
                    <w:jc w:val="center"/>
                    <w:jc w:val="center"/>
                  </w:pPr>
                  <w:r>
                    <w:t xml:space="preserve">SBRJ</w:t>
                  </w:r>
                </w:p>
              </w:tc>
              <w:tc>
                <w:tcPr/>
                <w:p>
                  <w:pPr>
                    <w:pStyle w:val="Compact"/>
                    <w:jc w:val="center"/>
                    <w:jc w:val="center"/>
                  </w:pPr>
                  <w:r>
                    <w:t xml:space="preserve">18360</w:t>
                  </w:r>
                </w:p>
              </w:tc>
              <w:tc>
                <w:tcPr/>
                <w:p>
                  <w:pPr>
                    <w:pStyle w:val="Compact"/>
                    <w:jc w:val="center"/>
                    <w:jc w:val="center"/>
                  </w:pPr>
                  <w:r>
                    <w:t xml:space="preserve">18169</w:t>
                  </w:r>
                </w:p>
              </w:tc>
              <w:tc>
                <w:tcPr/>
                <w:p>
                  <w:pPr>
                    <w:pStyle w:val="Compact"/>
                    <w:jc w:val="center"/>
                    <w:jc w:val="center"/>
                  </w:pPr>
                  <w:r>
                    <w:t xml:space="preserve">-191</w:t>
                  </w:r>
                </w:p>
              </w:tc>
              <w:tc>
                <w:tcPr/>
                <w:p>
                  <w:pPr>
                    <w:pStyle w:val="Compact"/>
                    <w:jc w:val="center"/>
                    <w:jc w:val="center"/>
                  </w:pPr>
                  <w:r>
                    <w:t xml:space="preserve">-1%</w:t>
                  </w:r>
                </w:p>
              </w:tc>
            </w:tr>
            <w:tr>
              <w:tc>
                <w:tcPr/>
                <w:p>
                  <w:pPr>
                    <w:pStyle w:val="Compact"/>
                    <w:jc w:val="center"/>
                    <w:jc w:val="center"/>
                  </w:pPr>
                  <w:r>
                    <w:t xml:space="preserve">2°</w:t>
                  </w:r>
                </w:p>
              </w:tc>
              <w:tc>
                <w:tcPr/>
                <w:p>
                  <w:pPr>
                    <w:pStyle w:val="Compact"/>
                    <w:jc w:val="center"/>
                    <w:jc w:val="center"/>
                  </w:pPr>
                  <w:r>
                    <w:t xml:space="preserve">SBRJ</w:t>
                  </w:r>
                </w:p>
              </w:tc>
              <w:tc>
                <w:tcPr/>
                <w:p>
                  <w:pPr>
                    <w:pStyle w:val="Compact"/>
                    <w:jc w:val="center"/>
                    <w:jc w:val="center"/>
                  </w:pPr>
                  <w:r>
                    <w:t xml:space="preserve">SBSP</w:t>
                  </w:r>
                </w:p>
              </w:tc>
              <w:tc>
                <w:tcPr/>
                <w:p>
                  <w:pPr>
                    <w:pStyle w:val="Compact"/>
                    <w:jc w:val="center"/>
                    <w:jc w:val="center"/>
                  </w:pPr>
                  <w:r>
                    <w:t xml:space="preserve">18356</w:t>
                  </w:r>
                </w:p>
              </w:tc>
              <w:tc>
                <w:tcPr/>
                <w:p>
                  <w:pPr>
                    <w:pStyle w:val="Compact"/>
                    <w:jc w:val="center"/>
                    <w:jc w:val="center"/>
                  </w:pPr>
                  <w:r>
                    <w:t xml:space="preserve">18162</w:t>
                  </w:r>
                </w:p>
              </w:tc>
              <w:tc>
                <w:tcPr/>
                <w:p>
                  <w:pPr>
                    <w:pStyle w:val="Compact"/>
                    <w:jc w:val="center"/>
                    <w:jc w:val="center"/>
                  </w:pPr>
                  <w:r>
                    <w:t xml:space="preserve">-194</w:t>
                  </w:r>
                </w:p>
              </w:tc>
              <w:tc>
                <w:tcPr/>
                <w:p>
                  <w:pPr>
                    <w:pStyle w:val="Compact"/>
                    <w:jc w:val="center"/>
                    <w:jc w:val="center"/>
                  </w:pPr>
                  <w:r>
                    <w:t xml:space="preserve">-1.1%</w:t>
                  </w:r>
                </w:p>
              </w:tc>
            </w:tr>
            <w:tr>
              <w:tc>
                <w:tcPr/>
                <w:p>
                  <w:pPr>
                    <w:pStyle w:val="Compact"/>
                    <w:jc w:val="center"/>
                    <w:jc w:val="center"/>
                  </w:pPr>
                  <w:r>
                    <w:t xml:space="preserve">3°</w:t>
                  </w:r>
                </w:p>
              </w:tc>
              <w:tc>
                <w:tcPr/>
                <w:p>
                  <w:pPr>
                    <w:pStyle w:val="Compact"/>
                    <w:jc w:val="center"/>
                    <w:jc w:val="center"/>
                  </w:pPr>
                  <w:r>
                    <w:t xml:space="preserve">SBSP</w:t>
                  </w:r>
                </w:p>
              </w:tc>
              <w:tc>
                <w:tcPr/>
                <w:p>
                  <w:pPr>
                    <w:pStyle w:val="Compact"/>
                    <w:jc w:val="center"/>
                    <w:jc w:val="center"/>
                  </w:pPr>
                  <w:r>
                    <w:t xml:space="preserve">SBBR</w:t>
                  </w:r>
                </w:p>
              </w:tc>
              <w:tc>
                <w:tcPr/>
                <w:p>
                  <w:pPr>
                    <w:pStyle w:val="Compact"/>
                    <w:jc w:val="center"/>
                    <w:jc w:val="center"/>
                  </w:pPr>
                  <w:r>
                    <w:t xml:space="preserve">9474</w:t>
                  </w:r>
                </w:p>
              </w:tc>
              <w:tc>
                <w:tcPr/>
                <w:p>
                  <w:pPr>
                    <w:pStyle w:val="Compact"/>
                    <w:jc w:val="center"/>
                    <w:jc w:val="center"/>
                  </w:pPr>
                  <w:r>
                    <w:t xml:space="preserve">8910</w:t>
                  </w:r>
                </w:p>
              </w:tc>
              <w:tc>
                <w:tcPr/>
                <w:p>
                  <w:pPr>
                    <w:pStyle w:val="Compact"/>
                    <w:jc w:val="center"/>
                    <w:jc w:val="center"/>
                  </w:pPr>
                  <w:r>
                    <w:t xml:space="preserve">-564</w:t>
                  </w:r>
                </w:p>
              </w:tc>
              <w:tc>
                <w:tcPr/>
                <w:p>
                  <w:pPr>
                    <w:pStyle w:val="Compact"/>
                    <w:jc w:val="center"/>
                    <w:jc w:val="center"/>
                  </w:pPr>
                  <w:r>
                    <w:t xml:space="preserve">-6%</w:t>
                  </w:r>
                </w:p>
              </w:tc>
            </w:tr>
            <w:tr>
              <w:tc>
                <w:tcPr/>
                <w:p>
                  <w:pPr>
                    <w:pStyle w:val="Compact"/>
                    <w:jc w:val="center"/>
                    <w:jc w:val="center"/>
                  </w:pPr>
                  <w:r>
                    <w:t xml:space="preserve">4°</w:t>
                  </w:r>
                </w:p>
              </w:tc>
              <w:tc>
                <w:tcPr/>
                <w:p>
                  <w:pPr>
                    <w:pStyle w:val="Compact"/>
                    <w:jc w:val="center"/>
                    <w:jc w:val="center"/>
                  </w:pPr>
                  <w:r>
                    <w:t xml:space="preserve">SBBR</w:t>
                  </w:r>
                </w:p>
              </w:tc>
              <w:tc>
                <w:tcPr/>
                <w:p>
                  <w:pPr>
                    <w:pStyle w:val="Compact"/>
                    <w:jc w:val="center"/>
                    <w:jc w:val="center"/>
                  </w:pPr>
                  <w:r>
                    <w:t xml:space="preserve">SBSP</w:t>
                  </w:r>
                </w:p>
              </w:tc>
              <w:tc>
                <w:tcPr/>
                <w:p>
                  <w:pPr>
                    <w:pStyle w:val="Compact"/>
                    <w:jc w:val="center"/>
                    <w:jc w:val="center"/>
                  </w:pPr>
                  <w:r>
                    <w:t xml:space="preserve">9423</w:t>
                  </w:r>
                </w:p>
              </w:tc>
              <w:tc>
                <w:tcPr/>
                <w:p>
                  <w:pPr>
                    <w:pStyle w:val="Compact"/>
                    <w:jc w:val="center"/>
                    <w:jc w:val="center"/>
                  </w:pPr>
                  <w:r>
                    <w:t xml:space="preserve">8862</w:t>
                  </w:r>
                </w:p>
              </w:tc>
              <w:tc>
                <w:tcPr/>
                <w:p>
                  <w:pPr>
                    <w:pStyle w:val="Compact"/>
                    <w:jc w:val="center"/>
                    <w:jc w:val="center"/>
                  </w:pPr>
                  <w:r>
                    <w:t xml:space="preserve">-561</w:t>
                  </w:r>
                </w:p>
              </w:tc>
              <w:tc>
                <w:tcPr/>
                <w:p>
                  <w:pPr>
                    <w:pStyle w:val="Compact"/>
                    <w:jc w:val="center"/>
                    <w:jc w:val="center"/>
                  </w:pPr>
                  <w:r>
                    <w:t xml:space="preserve">-6%</w:t>
                  </w:r>
                </w:p>
              </w:tc>
            </w:tr>
            <w:tr>
              <w:tc>
                <w:tcPr/>
                <w:p>
                  <w:pPr>
                    <w:pStyle w:val="Compact"/>
                    <w:jc w:val="center"/>
                    <w:jc w:val="center"/>
                  </w:pPr>
                  <w:r>
                    <w:t xml:space="preserve">5°</w:t>
                  </w:r>
                </w:p>
              </w:tc>
              <w:tc>
                <w:tcPr/>
                <w:p>
                  <w:pPr>
                    <w:pStyle w:val="Compact"/>
                    <w:jc w:val="center"/>
                    <w:jc w:val="center"/>
                  </w:pPr>
                  <w:r>
                    <w:t xml:space="preserve">SBSP</w:t>
                  </w:r>
                </w:p>
              </w:tc>
              <w:tc>
                <w:tcPr/>
                <w:p>
                  <w:pPr>
                    <w:pStyle w:val="Compact"/>
                    <w:jc w:val="center"/>
                    <w:jc w:val="center"/>
                  </w:pPr>
                  <w:r>
                    <w:t xml:space="preserve">SBCF</w:t>
                  </w:r>
                </w:p>
              </w:tc>
              <w:tc>
                <w:tcPr/>
                <w:p>
                  <w:pPr>
                    <w:pStyle w:val="Compact"/>
                    <w:jc w:val="center"/>
                    <w:jc w:val="center"/>
                  </w:pPr>
                  <w:r>
                    <w:t xml:space="preserve">8781</w:t>
                  </w:r>
                </w:p>
              </w:tc>
              <w:tc>
                <w:tcPr/>
                <w:p>
                  <w:pPr>
                    <w:pStyle w:val="Compact"/>
                    <w:jc w:val="center"/>
                    <w:jc w:val="center"/>
                  </w:pPr>
                  <w:r>
                    <w:t xml:space="preserve">8166</w:t>
                  </w:r>
                </w:p>
              </w:tc>
              <w:tc>
                <w:tcPr/>
                <w:p>
                  <w:pPr>
                    <w:pStyle w:val="Compact"/>
                    <w:jc w:val="center"/>
                    <w:jc w:val="center"/>
                  </w:pPr>
                  <w:r>
                    <w:t xml:space="preserve">-615</w:t>
                  </w:r>
                </w:p>
              </w:tc>
              <w:tc>
                <w:tcPr/>
                <w:p>
                  <w:pPr>
                    <w:pStyle w:val="Compact"/>
                    <w:jc w:val="center"/>
                    <w:jc w:val="center"/>
                  </w:pPr>
                  <w:r>
                    <w:t xml:space="preserve">-7%</w:t>
                  </w:r>
                </w:p>
              </w:tc>
            </w:tr>
            <w:tr>
              <w:tc>
                <w:tcPr/>
                <w:p>
                  <w:pPr>
                    <w:pStyle w:val="Compact"/>
                    <w:jc w:val="center"/>
                    <w:jc w:val="center"/>
                  </w:pPr>
                  <w:r>
                    <w:t xml:space="preserve">6°</w:t>
                  </w:r>
                </w:p>
              </w:tc>
              <w:tc>
                <w:tcPr/>
                <w:p>
                  <w:pPr>
                    <w:pStyle w:val="Compact"/>
                    <w:jc w:val="center"/>
                    <w:jc w:val="center"/>
                  </w:pPr>
                  <w:r>
                    <w:t xml:space="preserve">SBCF</w:t>
                  </w:r>
                </w:p>
              </w:tc>
              <w:tc>
                <w:tcPr/>
                <w:p>
                  <w:pPr>
                    <w:pStyle w:val="Compact"/>
                    <w:jc w:val="center"/>
                    <w:jc w:val="center"/>
                  </w:pPr>
                  <w:r>
                    <w:t xml:space="preserve">SBSP</w:t>
                  </w:r>
                </w:p>
              </w:tc>
              <w:tc>
                <w:tcPr/>
                <w:p>
                  <w:pPr>
                    <w:pStyle w:val="Compact"/>
                    <w:jc w:val="center"/>
                    <w:jc w:val="center"/>
                  </w:pPr>
                  <w:r>
                    <w:t xml:space="preserve">8795</w:t>
                  </w:r>
                </w:p>
              </w:tc>
              <w:tc>
                <w:tcPr/>
                <w:p>
                  <w:pPr>
                    <w:pStyle w:val="Compact"/>
                    <w:jc w:val="center"/>
                    <w:jc w:val="center"/>
                  </w:pPr>
                  <w:r>
                    <w:t xml:space="preserve">8162</w:t>
                  </w:r>
                </w:p>
              </w:tc>
              <w:tc>
                <w:tcPr/>
                <w:p>
                  <w:pPr>
                    <w:pStyle w:val="Compact"/>
                    <w:jc w:val="center"/>
                    <w:jc w:val="center"/>
                  </w:pPr>
                  <w:r>
                    <w:t xml:space="preserve">-633</w:t>
                  </w:r>
                </w:p>
              </w:tc>
              <w:tc>
                <w:tcPr/>
                <w:p>
                  <w:pPr>
                    <w:pStyle w:val="Compact"/>
                    <w:jc w:val="center"/>
                    <w:jc w:val="center"/>
                  </w:pPr>
                  <w:r>
                    <w:t xml:space="preserve">-7.2%</w:t>
                  </w:r>
                </w:p>
              </w:tc>
            </w:tr>
            <w:tr>
              <w:tc>
                <w:tcPr/>
                <w:p>
                  <w:pPr>
                    <w:pStyle w:val="Compact"/>
                    <w:jc w:val="center"/>
                    <w:jc w:val="center"/>
                  </w:pPr>
                  <w:r>
                    <w:t xml:space="preserve">7°</w:t>
                  </w:r>
                </w:p>
              </w:tc>
              <w:tc>
                <w:tcPr/>
                <w:p>
                  <w:pPr>
                    <w:pStyle w:val="Compact"/>
                    <w:jc w:val="center"/>
                    <w:jc w:val="center"/>
                  </w:pPr>
                  <w:r>
                    <w:t xml:space="preserve">SBSP</w:t>
                  </w:r>
                </w:p>
              </w:tc>
              <w:tc>
                <w:tcPr/>
                <w:p>
                  <w:pPr>
                    <w:pStyle w:val="Compact"/>
                    <w:jc w:val="center"/>
                    <w:jc w:val="center"/>
                  </w:pPr>
                  <w:r>
                    <w:t xml:space="preserve">SBPA</w:t>
                  </w:r>
                </w:p>
              </w:tc>
              <w:tc>
                <w:tcPr/>
                <w:p>
                  <w:pPr>
                    <w:pStyle w:val="Compact"/>
                    <w:jc w:val="center"/>
                    <w:jc w:val="center"/>
                  </w:pPr>
                  <w:r>
                    <w:t xml:space="preserve">4012</w:t>
                  </w:r>
                </w:p>
              </w:tc>
              <w:tc>
                <w:tcPr/>
                <w:p>
                  <w:pPr>
                    <w:pStyle w:val="Compact"/>
                    <w:jc w:val="center"/>
                    <w:jc w:val="center"/>
                  </w:pPr>
                  <w:r>
                    <w:t xml:space="preserve">7927</w:t>
                  </w:r>
                </w:p>
              </w:tc>
              <w:tc>
                <w:tcPr/>
                <w:p>
                  <w:pPr>
                    <w:pStyle w:val="Compact"/>
                    <w:jc w:val="center"/>
                    <w:jc w:val="center"/>
                  </w:pPr>
                  <w:r>
                    <w:t xml:space="preserve">3915</w:t>
                  </w:r>
                </w:p>
              </w:tc>
              <w:tc>
                <w:tcPr/>
                <w:p>
                  <w:pPr>
                    <w:pStyle w:val="Compact"/>
                    <w:jc w:val="center"/>
                    <w:jc w:val="center"/>
                  </w:pPr>
                  <w:r>
                    <w:t xml:space="preserve">97.6%</w:t>
                  </w:r>
                </w:p>
              </w:tc>
            </w:tr>
            <w:tr>
              <w:tc>
                <w:tcPr/>
                <w:p>
                  <w:pPr>
                    <w:pStyle w:val="Compact"/>
                    <w:jc w:val="center"/>
                    <w:jc w:val="center"/>
                  </w:pPr>
                  <w:r>
                    <w:t xml:space="preserve">8°</w:t>
                  </w:r>
                </w:p>
              </w:tc>
              <w:tc>
                <w:tcPr/>
                <w:p>
                  <w:pPr>
                    <w:pStyle w:val="Compact"/>
                    <w:jc w:val="center"/>
                    <w:jc w:val="center"/>
                  </w:pPr>
                  <w:r>
                    <w:t xml:space="preserve">SBPA</w:t>
                  </w:r>
                </w:p>
              </w:tc>
              <w:tc>
                <w:tcPr/>
                <w:p>
                  <w:pPr>
                    <w:pStyle w:val="Compact"/>
                    <w:jc w:val="center"/>
                    <w:jc w:val="center"/>
                  </w:pPr>
                  <w:r>
                    <w:t xml:space="preserve">SBSP</w:t>
                  </w:r>
                </w:p>
              </w:tc>
              <w:tc>
                <w:tcPr/>
                <w:p>
                  <w:pPr>
                    <w:pStyle w:val="Compact"/>
                    <w:jc w:val="center"/>
                    <w:jc w:val="center"/>
                  </w:pPr>
                  <w:r>
                    <w:t xml:space="preserve">4002</w:t>
                  </w:r>
                </w:p>
              </w:tc>
              <w:tc>
                <w:tcPr/>
                <w:p>
                  <w:pPr>
                    <w:pStyle w:val="Compact"/>
                    <w:jc w:val="center"/>
                    <w:jc w:val="center"/>
                  </w:pPr>
                  <w:r>
                    <w:t xml:space="preserve">7885</w:t>
                  </w:r>
                </w:p>
              </w:tc>
              <w:tc>
                <w:tcPr/>
                <w:p>
                  <w:pPr>
                    <w:pStyle w:val="Compact"/>
                    <w:jc w:val="center"/>
                    <w:jc w:val="center"/>
                  </w:pPr>
                  <w:r>
                    <w:t xml:space="preserve">3883</w:t>
                  </w:r>
                </w:p>
              </w:tc>
              <w:tc>
                <w:tcPr/>
                <w:p>
                  <w:pPr>
                    <w:pStyle w:val="Compact"/>
                    <w:jc w:val="center"/>
                    <w:jc w:val="center"/>
                  </w:pPr>
                  <w:r>
                    <w:t xml:space="preserve">97%</w:t>
                  </w:r>
                </w:p>
              </w:tc>
            </w:tr>
            <w:tr>
              <w:tc>
                <w:tcPr/>
                <w:p>
                  <w:pPr>
                    <w:pStyle w:val="Compact"/>
                    <w:jc w:val="center"/>
                    <w:jc w:val="center"/>
                  </w:pPr>
                  <w:r>
                    <w:t xml:space="preserve">9°</w:t>
                  </w:r>
                </w:p>
              </w:tc>
              <w:tc>
                <w:tcPr/>
                <w:p>
                  <w:pPr>
                    <w:pStyle w:val="Compact"/>
                    <w:jc w:val="center"/>
                    <w:jc w:val="center"/>
                  </w:pPr>
                  <w:r>
                    <w:t xml:space="preserve">SBGR</w:t>
                  </w:r>
                </w:p>
              </w:tc>
              <w:tc>
                <w:tcPr/>
                <w:p>
                  <w:pPr>
                    <w:pStyle w:val="Compact"/>
                    <w:jc w:val="center"/>
                    <w:jc w:val="center"/>
                  </w:pPr>
                  <w:r>
                    <w:t xml:space="preserve">SBPA</w:t>
                  </w:r>
                </w:p>
              </w:tc>
              <w:tc>
                <w:tcPr/>
                <w:p>
                  <w:pPr>
                    <w:pStyle w:val="Compact"/>
                    <w:jc w:val="center"/>
                    <w:jc w:val="center"/>
                  </w:pPr>
                  <w:r>
                    <w:t xml:space="preserve">2950</w:t>
                  </w:r>
                </w:p>
              </w:tc>
              <w:tc>
                <w:tcPr/>
                <w:p>
                  <w:pPr>
                    <w:pStyle w:val="Compact"/>
                    <w:jc w:val="center"/>
                    <w:jc w:val="center"/>
                  </w:pPr>
                  <w:r>
                    <w:t xml:space="preserve">6462</w:t>
                  </w:r>
                </w:p>
              </w:tc>
              <w:tc>
                <w:tcPr/>
                <w:p>
                  <w:pPr>
                    <w:pStyle w:val="Compact"/>
                    <w:jc w:val="center"/>
                    <w:jc w:val="center"/>
                  </w:pPr>
                  <w:r>
                    <w:t xml:space="preserve">3512</w:t>
                  </w:r>
                </w:p>
              </w:tc>
              <w:tc>
                <w:tcPr/>
                <w:p>
                  <w:pPr>
                    <w:pStyle w:val="Compact"/>
                    <w:jc w:val="center"/>
                    <w:jc w:val="center"/>
                  </w:pPr>
                  <w:r>
                    <w:t xml:space="preserve">119.1%</w:t>
                  </w:r>
                </w:p>
              </w:tc>
            </w:tr>
            <w:tr>
              <w:tc>
                <w:tcPr/>
                <w:p>
                  <w:pPr>
                    <w:pStyle w:val="Compact"/>
                    <w:jc w:val="center"/>
                    <w:jc w:val="center"/>
                  </w:pPr>
                  <w:r>
                    <w:t xml:space="preserve">10°</w:t>
                  </w:r>
                </w:p>
              </w:tc>
              <w:tc>
                <w:tcPr/>
                <w:p>
                  <w:pPr>
                    <w:pStyle w:val="Compact"/>
                    <w:jc w:val="center"/>
                    <w:jc w:val="center"/>
                  </w:pPr>
                  <w:r>
                    <w:t xml:space="preserve">SBPA</w:t>
                  </w:r>
                </w:p>
              </w:tc>
              <w:tc>
                <w:tcPr/>
                <w:p>
                  <w:pPr>
                    <w:pStyle w:val="Compact"/>
                    <w:jc w:val="center"/>
                    <w:jc w:val="center"/>
                  </w:pPr>
                  <w:r>
                    <w:t xml:space="preserve">SBGR</w:t>
                  </w:r>
                </w:p>
              </w:tc>
              <w:tc>
                <w:tcPr/>
                <w:p>
                  <w:pPr>
                    <w:pStyle w:val="Compact"/>
                    <w:jc w:val="center"/>
                    <w:jc w:val="center"/>
                  </w:pPr>
                  <w:r>
                    <w:t xml:space="preserve">2955</w:t>
                  </w:r>
                </w:p>
              </w:tc>
              <w:tc>
                <w:tcPr/>
                <w:p>
                  <w:pPr>
                    <w:pStyle w:val="Compact"/>
                    <w:jc w:val="center"/>
                    <w:jc w:val="center"/>
                  </w:pPr>
                  <w:r>
                    <w:t xml:space="preserve">6451</w:t>
                  </w:r>
                </w:p>
              </w:tc>
              <w:tc>
                <w:tcPr/>
                <w:p>
                  <w:pPr>
                    <w:pStyle w:val="Compact"/>
                    <w:jc w:val="center"/>
                    <w:jc w:val="center"/>
                  </w:pPr>
                  <w:r>
                    <w:t xml:space="preserve">3496</w:t>
                  </w:r>
                </w:p>
              </w:tc>
              <w:tc>
                <w:tcPr/>
                <w:p>
                  <w:pPr>
                    <w:pStyle w:val="Compact"/>
                    <w:jc w:val="center"/>
                    <w:jc w:val="center"/>
                  </w:pPr>
                  <w:r>
                    <w:t xml:space="preserve">118.3%</w:t>
                  </w:r>
                </w:p>
              </w:tc>
            </w:tr>
            <w:tr>
              <w:tc>
                <w:tcPr/>
                <w:p>
                  <w:pPr>
                    <w:pStyle w:val="Compact"/>
                    <w:jc w:val="center"/>
                    <w:jc w:val="center"/>
                  </w:pPr>
                  <w:r>
                    <w:t xml:space="preserve">11°</w:t>
                  </w:r>
                </w:p>
              </w:tc>
              <w:tc>
                <w:tcPr/>
                <w:p>
                  <w:pPr>
                    <w:pStyle w:val="Compact"/>
                    <w:jc w:val="center"/>
                    <w:jc w:val="center"/>
                  </w:pPr>
                  <w:r>
                    <w:t xml:space="preserve">SBGR</w:t>
                  </w:r>
                </w:p>
              </w:tc>
              <w:tc>
                <w:tcPr/>
                <w:p>
                  <w:pPr>
                    <w:pStyle w:val="Compact"/>
                    <w:jc w:val="center"/>
                    <w:jc w:val="center"/>
                  </w:pPr>
                  <w:r>
                    <w:t xml:space="preserve">SBRF</w:t>
                  </w:r>
                </w:p>
              </w:tc>
              <w:tc>
                <w:tcPr/>
                <w:p>
                  <w:pPr>
                    <w:pStyle w:val="Compact"/>
                    <w:jc w:val="center"/>
                    <w:jc w:val="center"/>
                  </w:pPr>
                  <w:r>
                    <w:t xml:space="preserve">6381</w:t>
                  </w:r>
                </w:p>
              </w:tc>
              <w:tc>
                <w:tcPr/>
                <w:p>
                  <w:pPr>
                    <w:pStyle w:val="Compact"/>
                    <w:jc w:val="center"/>
                    <w:jc w:val="center"/>
                  </w:pPr>
                  <w:r>
                    <w:t xml:space="preserve">6058</w:t>
                  </w:r>
                </w:p>
              </w:tc>
              <w:tc>
                <w:tcPr/>
                <w:p>
                  <w:pPr>
                    <w:pStyle w:val="Compact"/>
                    <w:jc w:val="center"/>
                    <w:jc w:val="center"/>
                  </w:pPr>
                  <w:r>
                    <w:t xml:space="preserve">-323</w:t>
                  </w:r>
                </w:p>
              </w:tc>
              <w:tc>
                <w:tcPr/>
                <w:p>
                  <w:pPr>
                    <w:pStyle w:val="Compact"/>
                    <w:jc w:val="center"/>
                    <w:jc w:val="center"/>
                  </w:pPr>
                  <w:r>
                    <w:t xml:space="preserve">-5.1%</w:t>
                  </w:r>
                </w:p>
              </w:tc>
            </w:tr>
            <w:tr>
              <w:tc>
                <w:tcPr/>
                <w:p>
                  <w:pPr>
                    <w:pStyle w:val="Compact"/>
                    <w:jc w:val="center"/>
                    <w:jc w:val="center"/>
                  </w:pPr>
                  <w:r>
                    <w:t xml:space="preserve">12°</w:t>
                  </w:r>
                </w:p>
              </w:tc>
              <w:tc>
                <w:tcPr/>
                <w:p>
                  <w:pPr>
                    <w:pStyle w:val="Compact"/>
                    <w:jc w:val="center"/>
                    <w:jc w:val="center"/>
                  </w:pPr>
                  <w:r>
                    <w:t xml:space="preserve">SBRF</w:t>
                  </w:r>
                </w:p>
              </w:tc>
              <w:tc>
                <w:tcPr/>
                <w:p>
                  <w:pPr>
                    <w:pStyle w:val="Compact"/>
                    <w:jc w:val="center"/>
                    <w:jc w:val="center"/>
                  </w:pPr>
                  <w:r>
                    <w:t xml:space="preserve">SBGR</w:t>
                  </w:r>
                </w:p>
              </w:tc>
              <w:tc>
                <w:tcPr/>
                <w:p>
                  <w:pPr>
                    <w:pStyle w:val="Compact"/>
                    <w:jc w:val="center"/>
                    <w:jc w:val="center"/>
                  </w:pPr>
                  <w:r>
                    <w:t xml:space="preserve">6078</w:t>
                  </w:r>
                </w:p>
              </w:tc>
              <w:tc>
                <w:tcPr/>
                <w:p>
                  <w:pPr>
                    <w:pStyle w:val="Compact"/>
                    <w:jc w:val="center"/>
                    <w:jc w:val="center"/>
                  </w:pPr>
                  <w:r>
                    <w:t xml:space="preserve">5937</w:t>
                  </w:r>
                </w:p>
              </w:tc>
              <w:tc>
                <w:tcPr/>
                <w:p>
                  <w:pPr>
                    <w:pStyle w:val="Compact"/>
                    <w:jc w:val="center"/>
                    <w:jc w:val="center"/>
                  </w:pPr>
                  <w:r>
                    <w:t xml:space="preserve">-141</w:t>
                  </w:r>
                </w:p>
              </w:tc>
              <w:tc>
                <w:tcPr/>
                <w:p>
                  <w:pPr>
                    <w:pStyle w:val="Compact"/>
                    <w:jc w:val="center"/>
                    <w:jc w:val="center"/>
                  </w:pPr>
                  <w:r>
                    <w:t xml:space="preserve">-2.3%</w:t>
                  </w:r>
                </w:p>
              </w:tc>
            </w:tr>
            <w:tr>
              <w:tc>
                <w:tcPr/>
                <w:p>
                  <w:pPr>
                    <w:pStyle w:val="Compact"/>
                    <w:jc w:val="center"/>
                    <w:jc w:val="center"/>
                  </w:pPr>
                  <w:r>
                    <w:t xml:space="preserve">13°</w:t>
                  </w:r>
                </w:p>
              </w:tc>
              <w:tc>
                <w:tcPr/>
                <w:p>
                  <w:pPr>
                    <w:pStyle w:val="Compact"/>
                    <w:jc w:val="center"/>
                    <w:jc w:val="center"/>
                  </w:pPr>
                  <w:r>
                    <w:t xml:space="preserve">SBCF</w:t>
                  </w:r>
                </w:p>
              </w:tc>
              <w:tc>
                <w:tcPr/>
                <w:p>
                  <w:pPr>
                    <w:pStyle w:val="Compact"/>
                    <w:jc w:val="center"/>
                    <w:jc w:val="center"/>
                  </w:pPr>
                  <w:r>
                    <w:t xml:space="preserve">SBGR</w:t>
                  </w:r>
                </w:p>
              </w:tc>
              <w:tc>
                <w:tcPr/>
                <w:p>
                  <w:pPr>
                    <w:pStyle w:val="Compact"/>
                    <w:jc w:val="center"/>
                    <w:jc w:val="center"/>
                  </w:pPr>
                  <w:r>
                    <w:t xml:space="preserve">5673</w:t>
                  </w:r>
                </w:p>
              </w:tc>
              <w:tc>
                <w:tcPr/>
                <w:p>
                  <w:pPr>
                    <w:pStyle w:val="Compact"/>
                    <w:jc w:val="center"/>
                    <w:jc w:val="center"/>
                  </w:pPr>
                  <w:r>
                    <w:t xml:space="preserve">5403</w:t>
                  </w:r>
                </w:p>
              </w:tc>
              <w:tc>
                <w:tcPr/>
                <w:p>
                  <w:pPr>
                    <w:pStyle w:val="Compact"/>
                    <w:jc w:val="center"/>
                    <w:jc w:val="center"/>
                  </w:pPr>
                  <w:r>
                    <w:t xml:space="preserve">-270</w:t>
                  </w:r>
                </w:p>
              </w:tc>
              <w:tc>
                <w:tcPr/>
                <w:p>
                  <w:pPr>
                    <w:pStyle w:val="Compact"/>
                    <w:jc w:val="center"/>
                    <w:jc w:val="center"/>
                  </w:pPr>
                  <w:r>
                    <w:t xml:space="preserve">-4.8%</w:t>
                  </w:r>
                </w:p>
              </w:tc>
            </w:tr>
            <w:tr>
              <w:tc>
                <w:tcPr/>
                <w:p>
                  <w:pPr>
                    <w:pStyle w:val="Compact"/>
                    <w:jc w:val="center"/>
                    <w:jc w:val="center"/>
                  </w:pPr>
                  <w:r>
                    <w:t xml:space="preserve">14°</w:t>
                  </w:r>
                </w:p>
              </w:tc>
              <w:tc>
                <w:tcPr/>
                <w:p>
                  <w:pPr>
                    <w:pStyle w:val="Compact"/>
                    <w:jc w:val="center"/>
                    <w:jc w:val="center"/>
                  </w:pPr>
                  <w:r>
                    <w:t xml:space="preserve">SBGR</w:t>
                  </w:r>
                </w:p>
              </w:tc>
              <w:tc>
                <w:tcPr/>
                <w:p>
                  <w:pPr>
                    <w:pStyle w:val="Compact"/>
                    <w:jc w:val="center"/>
                    <w:jc w:val="center"/>
                  </w:pPr>
                  <w:r>
                    <w:t xml:space="preserve">SBCF</w:t>
                  </w:r>
                </w:p>
              </w:tc>
              <w:tc>
                <w:tcPr/>
                <w:p>
                  <w:pPr>
                    <w:pStyle w:val="Compact"/>
                    <w:jc w:val="center"/>
                    <w:jc w:val="center"/>
                  </w:pPr>
                  <w:r>
                    <w:t xml:space="preserve">5391</w:t>
                  </w:r>
                </w:p>
              </w:tc>
              <w:tc>
                <w:tcPr/>
                <w:p>
                  <w:pPr>
                    <w:pStyle w:val="Compact"/>
                    <w:jc w:val="center"/>
                    <w:jc w:val="center"/>
                  </w:pPr>
                  <w:r>
                    <w:t xml:space="preserve">5282</w:t>
                  </w:r>
                </w:p>
              </w:tc>
              <w:tc>
                <w:tcPr/>
                <w:p>
                  <w:pPr>
                    <w:pStyle w:val="Compact"/>
                    <w:jc w:val="center"/>
                    <w:jc w:val="center"/>
                  </w:pPr>
                  <w:r>
                    <w:t xml:space="preserve">-109</w:t>
                  </w:r>
                </w:p>
              </w:tc>
              <w:tc>
                <w:tcPr/>
                <w:p>
                  <w:pPr>
                    <w:pStyle w:val="Compact"/>
                    <w:jc w:val="center"/>
                    <w:jc w:val="center"/>
                  </w:pPr>
                  <w:r>
                    <w:t xml:space="preserve">-2%</w:t>
                  </w:r>
                </w:p>
              </w:tc>
            </w:tr>
            <w:tr>
              <w:tc>
                <w:tcPr/>
                <w:p>
                  <w:pPr>
                    <w:pStyle w:val="Compact"/>
                    <w:jc w:val="center"/>
                    <w:jc w:val="center"/>
                  </w:pPr>
                  <w:r>
                    <w:t xml:space="preserve">15°</w:t>
                  </w:r>
                </w:p>
              </w:tc>
              <w:tc>
                <w:tcPr/>
                <w:p>
                  <w:pPr>
                    <w:pStyle w:val="Compact"/>
                    <w:jc w:val="center"/>
                    <w:jc w:val="center"/>
                  </w:pPr>
                  <w:r>
                    <w:t xml:space="preserve">SBSP</w:t>
                  </w:r>
                </w:p>
              </w:tc>
              <w:tc>
                <w:tcPr/>
                <w:p>
                  <w:pPr>
                    <w:pStyle w:val="Compact"/>
                    <w:jc w:val="center"/>
                    <w:jc w:val="center"/>
                  </w:pPr>
                  <w:r>
                    <w:t xml:space="preserve">SBSV</w:t>
                  </w:r>
                </w:p>
              </w:tc>
              <w:tc>
                <w:tcPr/>
                <w:p>
                  <w:pPr>
                    <w:pStyle w:val="Compact"/>
                    <w:jc w:val="center"/>
                    <w:jc w:val="center"/>
                  </w:pPr>
                  <w:r>
                    <w:t xml:space="preserve">5317</w:t>
                  </w:r>
                </w:p>
              </w:tc>
              <w:tc>
                <w:tcPr/>
                <w:p>
                  <w:pPr>
                    <w:pStyle w:val="Compact"/>
                    <w:jc w:val="center"/>
                    <w:jc w:val="center"/>
                  </w:pPr>
                  <w:r>
                    <w:t xml:space="preserve">5202</w:t>
                  </w:r>
                </w:p>
              </w:tc>
              <w:tc>
                <w:tcPr/>
                <w:p>
                  <w:pPr>
                    <w:pStyle w:val="Compact"/>
                    <w:jc w:val="center"/>
                    <w:jc w:val="center"/>
                  </w:pPr>
                  <w:r>
                    <w:t xml:space="preserve">-115</w:t>
                  </w:r>
                </w:p>
              </w:tc>
              <w:tc>
                <w:tcPr/>
                <w:p>
                  <w:pPr>
                    <w:pStyle w:val="Compact"/>
                    <w:jc w:val="center"/>
                    <w:jc w:val="center"/>
                  </w:pPr>
                  <w:r>
                    <w:t xml:space="preserve">-2.2%</w:t>
                  </w:r>
                </w:p>
              </w:tc>
            </w:tr>
            <w:tr>
              <w:tc>
                <w:tcPr/>
                <w:p>
                  <w:pPr>
                    <w:pStyle w:val="Compact"/>
                    <w:jc w:val="center"/>
                    <w:jc w:val="center"/>
                  </w:pPr>
                  <w:r>
                    <w:t xml:space="preserve">16°</w:t>
                  </w:r>
                </w:p>
              </w:tc>
              <w:tc>
                <w:tcPr/>
                <w:p>
                  <w:pPr>
                    <w:pStyle w:val="Compact"/>
                    <w:jc w:val="center"/>
                    <w:jc w:val="center"/>
                  </w:pPr>
                  <w:r>
                    <w:t xml:space="preserve">SBGR</w:t>
                  </w:r>
                </w:p>
              </w:tc>
              <w:tc>
                <w:tcPr/>
                <w:p>
                  <w:pPr>
                    <w:pStyle w:val="Compact"/>
                    <w:jc w:val="center"/>
                    <w:jc w:val="center"/>
                  </w:pPr>
                  <w:r>
                    <w:t xml:space="preserve">SBGL</w:t>
                  </w:r>
                </w:p>
              </w:tc>
              <w:tc>
                <w:tcPr/>
                <w:p>
                  <w:pPr>
                    <w:pStyle w:val="Compact"/>
                    <w:jc w:val="center"/>
                    <w:jc w:val="center"/>
                  </w:pPr>
                  <w:r>
                    <w:t xml:space="preserve">5442</w:t>
                  </w:r>
                </w:p>
              </w:tc>
              <w:tc>
                <w:tcPr/>
                <w:p>
                  <w:pPr>
                    <w:pStyle w:val="Compact"/>
                    <w:jc w:val="center"/>
                    <w:jc w:val="center"/>
                  </w:pPr>
                  <w:r>
                    <w:t xml:space="preserve">5191</w:t>
                  </w:r>
                </w:p>
              </w:tc>
              <w:tc>
                <w:tcPr/>
                <w:p>
                  <w:pPr>
                    <w:pStyle w:val="Compact"/>
                    <w:jc w:val="center"/>
                    <w:jc w:val="center"/>
                  </w:pPr>
                  <w:r>
                    <w:t xml:space="preserve">-251</w:t>
                  </w:r>
                </w:p>
              </w:tc>
              <w:tc>
                <w:tcPr/>
                <w:p>
                  <w:pPr>
                    <w:pStyle w:val="Compact"/>
                    <w:jc w:val="center"/>
                    <w:jc w:val="center"/>
                  </w:pPr>
                  <w:r>
                    <w:t xml:space="preserve">-4.6%</w:t>
                  </w:r>
                </w:p>
              </w:tc>
            </w:tr>
            <w:tr>
              <w:tc>
                <w:tcPr/>
                <w:p>
                  <w:pPr>
                    <w:pStyle w:val="Compact"/>
                    <w:jc w:val="center"/>
                    <w:jc w:val="center"/>
                  </w:pPr>
                  <w:r>
                    <w:t xml:space="preserve">17°</w:t>
                  </w:r>
                </w:p>
              </w:tc>
              <w:tc>
                <w:tcPr/>
                <w:p>
                  <w:pPr>
                    <w:pStyle w:val="Compact"/>
                    <w:jc w:val="center"/>
                    <w:jc w:val="center"/>
                  </w:pPr>
                  <w:r>
                    <w:t xml:space="preserve">SBSV</w:t>
                  </w:r>
                </w:p>
              </w:tc>
              <w:tc>
                <w:tcPr/>
                <w:p>
                  <w:pPr>
                    <w:pStyle w:val="Compact"/>
                    <w:jc w:val="center"/>
                    <w:jc w:val="center"/>
                  </w:pPr>
                  <w:r>
                    <w:t xml:space="preserve">SBSP</w:t>
                  </w:r>
                </w:p>
              </w:tc>
              <w:tc>
                <w:tcPr/>
                <w:p>
                  <w:pPr>
                    <w:pStyle w:val="Compact"/>
                    <w:jc w:val="center"/>
                    <w:jc w:val="center"/>
                  </w:pPr>
                  <w:r>
                    <w:t xml:space="preserve">5260</w:t>
                  </w:r>
                </w:p>
              </w:tc>
              <w:tc>
                <w:tcPr/>
                <w:p>
                  <w:pPr>
                    <w:pStyle w:val="Compact"/>
                    <w:jc w:val="center"/>
                    <w:jc w:val="center"/>
                  </w:pPr>
                  <w:r>
                    <w:t xml:space="preserve">5177</w:t>
                  </w:r>
                </w:p>
              </w:tc>
              <w:tc>
                <w:tcPr/>
                <w:p>
                  <w:pPr>
                    <w:pStyle w:val="Compact"/>
                    <w:jc w:val="center"/>
                    <w:jc w:val="center"/>
                  </w:pPr>
                  <w:r>
                    <w:t xml:space="preserve">-83</w:t>
                  </w:r>
                </w:p>
              </w:tc>
              <w:tc>
                <w:tcPr/>
                <w:p>
                  <w:pPr>
                    <w:pStyle w:val="Compact"/>
                    <w:jc w:val="center"/>
                    <w:jc w:val="center"/>
                  </w:pPr>
                  <w:r>
                    <w:t xml:space="preserve">-1.6%</w:t>
                  </w:r>
                </w:p>
              </w:tc>
            </w:tr>
            <w:tr>
              <w:tc>
                <w:tcPr/>
                <w:p>
                  <w:pPr>
                    <w:pStyle w:val="Compact"/>
                    <w:jc w:val="center"/>
                    <w:jc w:val="center"/>
                  </w:pPr>
                  <w:r>
                    <w:t xml:space="preserve">18°</w:t>
                  </w:r>
                </w:p>
              </w:tc>
              <w:tc>
                <w:tcPr/>
                <w:p>
                  <w:pPr>
                    <w:pStyle w:val="Compact"/>
                    <w:jc w:val="center"/>
                    <w:jc w:val="center"/>
                  </w:pPr>
                  <w:r>
                    <w:t xml:space="preserve">SBCT</w:t>
                  </w:r>
                </w:p>
              </w:tc>
              <w:tc>
                <w:tcPr/>
                <w:p>
                  <w:pPr>
                    <w:pStyle w:val="Compact"/>
                    <w:jc w:val="center"/>
                    <w:jc w:val="center"/>
                  </w:pPr>
                  <w:r>
                    <w:t xml:space="preserve">SBGR</w:t>
                  </w:r>
                </w:p>
              </w:tc>
              <w:tc>
                <w:tcPr/>
                <w:p>
                  <w:pPr>
                    <w:pStyle w:val="Compact"/>
                    <w:jc w:val="center"/>
                    <w:jc w:val="center"/>
                  </w:pPr>
                  <w:r>
                    <w:t xml:space="preserve">4727</w:t>
                  </w:r>
                </w:p>
              </w:tc>
              <w:tc>
                <w:tcPr/>
                <w:p>
                  <w:pPr>
                    <w:pStyle w:val="Compact"/>
                    <w:jc w:val="center"/>
                    <w:jc w:val="center"/>
                  </w:pPr>
                  <w:r>
                    <w:t xml:space="preserve">5080</w:t>
                  </w:r>
                </w:p>
              </w:tc>
              <w:tc>
                <w:tcPr/>
                <w:p>
                  <w:pPr>
                    <w:pStyle w:val="Compact"/>
                    <w:jc w:val="center"/>
                    <w:jc w:val="center"/>
                  </w:pPr>
                  <w:r>
                    <w:t xml:space="preserve">353</w:t>
                  </w:r>
                </w:p>
              </w:tc>
              <w:tc>
                <w:tcPr/>
                <w:p>
                  <w:pPr>
                    <w:pStyle w:val="Compact"/>
                    <w:jc w:val="center"/>
                    <w:jc w:val="center"/>
                  </w:pPr>
                  <w:r>
                    <w:t xml:space="preserve">7.5%</w:t>
                  </w:r>
                </w:p>
              </w:tc>
            </w:tr>
            <w:tr>
              <w:tc>
                <w:tcPr/>
                <w:p>
                  <w:pPr>
                    <w:pStyle w:val="Compact"/>
                    <w:jc w:val="center"/>
                    <w:jc w:val="center"/>
                  </w:pPr>
                  <w:r>
                    <w:t xml:space="preserve">19°</w:t>
                  </w:r>
                </w:p>
              </w:tc>
              <w:tc>
                <w:tcPr/>
                <w:p>
                  <w:pPr>
                    <w:pStyle w:val="Compact"/>
                    <w:jc w:val="center"/>
                    <w:jc w:val="center"/>
                  </w:pPr>
                  <w:r>
                    <w:t xml:space="preserve">SBGR</w:t>
                  </w:r>
                </w:p>
              </w:tc>
              <w:tc>
                <w:tcPr/>
                <w:p>
                  <w:pPr>
                    <w:pStyle w:val="Compact"/>
                    <w:jc w:val="center"/>
                    <w:jc w:val="center"/>
                  </w:pPr>
                  <w:r>
                    <w:t xml:space="preserve">SBCT</w:t>
                  </w:r>
                </w:p>
              </w:tc>
              <w:tc>
                <w:tcPr/>
                <w:p>
                  <w:pPr>
                    <w:pStyle w:val="Compact"/>
                    <w:jc w:val="center"/>
                    <w:jc w:val="center"/>
                  </w:pPr>
                  <w:r>
                    <w:t xml:space="preserve">4655</w:t>
                  </w:r>
                </w:p>
              </w:tc>
              <w:tc>
                <w:tcPr/>
                <w:p>
                  <w:pPr>
                    <w:pStyle w:val="Compact"/>
                    <w:jc w:val="center"/>
                    <w:jc w:val="center"/>
                  </w:pPr>
                  <w:r>
                    <w:t xml:space="preserve">5047</w:t>
                  </w:r>
                </w:p>
              </w:tc>
              <w:tc>
                <w:tcPr/>
                <w:p>
                  <w:pPr>
                    <w:pStyle w:val="Compact"/>
                    <w:jc w:val="center"/>
                    <w:jc w:val="center"/>
                  </w:pPr>
                  <w:r>
                    <w:t xml:space="preserve">392</w:t>
                  </w:r>
                </w:p>
              </w:tc>
              <w:tc>
                <w:tcPr/>
                <w:p>
                  <w:pPr>
                    <w:pStyle w:val="Compact"/>
                    <w:jc w:val="center"/>
                    <w:jc w:val="center"/>
                  </w:pPr>
                  <w:r>
                    <w:t xml:space="preserve">8.4%</w:t>
                  </w:r>
                </w:p>
              </w:tc>
            </w:tr>
            <w:tr>
              <w:tc>
                <w:tcPr/>
                <w:p>
                  <w:pPr>
                    <w:pStyle w:val="Compact"/>
                    <w:jc w:val="center"/>
                    <w:jc w:val="center"/>
                  </w:pPr>
                  <w:r>
                    <w:t xml:space="preserve">20°</w:t>
                  </w:r>
                </w:p>
              </w:tc>
              <w:tc>
                <w:tcPr/>
                <w:p>
                  <w:pPr>
                    <w:pStyle w:val="Compact"/>
                    <w:jc w:val="center"/>
                    <w:jc w:val="center"/>
                  </w:pPr>
                  <w:r>
                    <w:t xml:space="preserve">SBGR</w:t>
                  </w:r>
                </w:p>
              </w:tc>
              <w:tc>
                <w:tcPr/>
                <w:p>
                  <w:pPr>
                    <w:pStyle w:val="Compact"/>
                    <w:jc w:val="center"/>
                    <w:jc w:val="center"/>
                  </w:pPr>
                  <w:r>
                    <w:t xml:space="preserve">SBBR</w:t>
                  </w:r>
                </w:p>
              </w:tc>
              <w:tc>
                <w:tcPr/>
                <w:p>
                  <w:pPr>
                    <w:pStyle w:val="Compact"/>
                    <w:jc w:val="center"/>
                    <w:jc w:val="center"/>
                  </w:pPr>
                  <w:r>
                    <w:t xml:space="preserve">4673</w:t>
                  </w:r>
                </w:p>
              </w:tc>
              <w:tc>
                <w:tcPr/>
                <w:p>
                  <w:pPr>
                    <w:pStyle w:val="Compact"/>
                    <w:jc w:val="center"/>
                    <w:jc w:val="center"/>
                  </w:pPr>
                  <w:r>
                    <w:t xml:space="preserve">4981</w:t>
                  </w:r>
                </w:p>
              </w:tc>
              <w:tc>
                <w:tcPr/>
                <w:p>
                  <w:pPr>
                    <w:pStyle w:val="Compact"/>
                    <w:jc w:val="center"/>
                    <w:jc w:val="center"/>
                  </w:pPr>
                  <w:r>
                    <w:t xml:space="preserve">308</w:t>
                  </w:r>
                </w:p>
              </w:tc>
              <w:tc>
                <w:tcPr/>
                <w:p>
                  <w:pPr>
                    <w:pStyle w:val="Compact"/>
                    <w:jc w:val="center"/>
                    <w:jc w:val="center"/>
                  </w:pPr>
                  <w:r>
                    <w:t xml:space="preserve">6.6%</w:t>
                  </w:r>
                </w:p>
              </w:tc>
            </w:tr>
            <w:tr>
              <w:tc>
                <w:tcPr/>
                <w:p>
                  <w:pPr>
                    <w:pStyle w:val="Compact"/>
                    <w:jc w:val="center"/>
                    <w:jc w:val="center"/>
                  </w:pPr>
                  <w:r>
                    <w:t xml:space="preserve">21°</w:t>
                  </w:r>
                </w:p>
              </w:tc>
              <w:tc>
                <w:tcPr/>
                <w:p>
                  <w:pPr>
                    <w:pStyle w:val="Compact"/>
                    <w:jc w:val="center"/>
                    <w:jc w:val="center"/>
                  </w:pPr>
                  <w:r>
                    <w:t xml:space="preserve">SBBR</w:t>
                  </w:r>
                </w:p>
              </w:tc>
              <w:tc>
                <w:tcPr/>
                <w:p>
                  <w:pPr>
                    <w:pStyle w:val="Compact"/>
                    <w:jc w:val="center"/>
                    <w:jc w:val="center"/>
                  </w:pPr>
                  <w:r>
                    <w:t xml:space="preserve">SBGR</w:t>
                  </w:r>
                </w:p>
              </w:tc>
              <w:tc>
                <w:tcPr/>
                <w:p>
                  <w:pPr>
                    <w:pStyle w:val="Compact"/>
                    <w:jc w:val="center"/>
                    <w:jc w:val="center"/>
                  </w:pPr>
                  <w:r>
                    <w:t xml:space="preserve">4601</w:t>
                  </w:r>
                </w:p>
              </w:tc>
              <w:tc>
                <w:tcPr/>
                <w:p>
                  <w:pPr>
                    <w:pStyle w:val="Compact"/>
                    <w:jc w:val="center"/>
                    <w:jc w:val="center"/>
                  </w:pPr>
                  <w:r>
                    <w:t xml:space="preserve">4949</w:t>
                  </w:r>
                </w:p>
              </w:tc>
              <w:tc>
                <w:tcPr/>
                <w:p>
                  <w:pPr>
                    <w:pStyle w:val="Compact"/>
                    <w:jc w:val="center"/>
                    <w:jc w:val="center"/>
                  </w:pPr>
                  <w:r>
                    <w:t xml:space="preserve">348</w:t>
                  </w:r>
                </w:p>
              </w:tc>
              <w:tc>
                <w:tcPr/>
                <w:p>
                  <w:pPr>
                    <w:pStyle w:val="Compact"/>
                    <w:jc w:val="center"/>
                    <w:jc w:val="center"/>
                  </w:pPr>
                  <w:r>
                    <w:t xml:space="preserve">7.6%</w:t>
                  </w:r>
                </w:p>
              </w:tc>
            </w:tr>
            <w:tr>
              <w:tc>
                <w:tcPr/>
                <w:p>
                  <w:pPr>
                    <w:pStyle w:val="Compact"/>
                    <w:jc w:val="center"/>
                    <w:jc w:val="center"/>
                  </w:pPr>
                  <w:r>
                    <w:t xml:space="preserve">22°</w:t>
                  </w:r>
                </w:p>
              </w:tc>
              <w:tc>
                <w:tcPr/>
                <w:p>
                  <w:pPr>
                    <w:pStyle w:val="Compact"/>
                    <w:jc w:val="center"/>
                    <w:jc w:val="center"/>
                  </w:pPr>
                  <w:r>
                    <w:t xml:space="preserve">SBRJ</w:t>
                  </w:r>
                </w:p>
              </w:tc>
              <w:tc>
                <w:tcPr/>
                <w:p>
                  <w:pPr>
                    <w:pStyle w:val="Compact"/>
                    <w:jc w:val="center"/>
                    <w:jc w:val="center"/>
                  </w:pPr>
                  <w:r>
                    <w:t xml:space="preserve">SBBR</w:t>
                  </w:r>
                </w:p>
              </w:tc>
              <w:tc>
                <w:tcPr/>
                <w:p>
                  <w:pPr>
                    <w:pStyle w:val="Compact"/>
                    <w:jc w:val="center"/>
                    <w:jc w:val="center"/>
                  </w:pPr>
                  <w:r>
                    <w:t xml:space="preserve">3473</w:t>
                  </w:r>
                </w:p>
              </w:tc>
              <w:tc>
                <w:tcPr/>
                <w:p>
                  <w:pPr>
                    <w:pStyle w:val="Compact"/>
                    <w:jc w:val="center"/>
                    <w:jc w:val="center"/>
                  </w:pPr>
                  <w:r>
                    <w:t xml:space="preserve">4324</w:t>
                  </w:r>
                </w:p>
              </w:tc>
              <w:tc>
                <w:tcPr/>
                <w:p>
                  <w:pPr>
                    <w:pStyle w:val="Compact"/>
                    <w:jc w:val="center"/>
                    <w:jc w:val="center"/>
                  </w:pPr>
                  <w:r>
                    <w:t xml:space="preserve">851</w:t>
                  </w:r>
                </w:p>
              </w:tc>
              <w:tc>
                <w:tcPr/>
                <w:p>
                  <w:pPr>
                    <w:pStyle w:val="Compact"/>
                    <w:jc w:val="center"/>
                    <w:jc w:val="center"/>
                  </w:pPr>
                  <w:r>
                    <w:t xml:space="preserve">24.5%</w:t>
                  </w:r>
                </w:p>
              </w:tc>
            </w:tr>
            <w:tr>
              <w:tc>
                <w:tcPr/>
                <w:p>
                  <w:pPr>
                    <w:pStyle w:val="Compact"/>
                    <w:jc w:val="center"/>
                    <w:jc w:val="center"/>
                  </w:pPr>
                  <w:r>
                    <w:t xml:space="preserve">23°</w:t>
                  </w:r>
                </w:p>
              </w:tc>
              <w:tc>
                <w:tcPr/>
                <w:p>
                  <w:pPr>
                    <w:pStyle w:val="Compact"/>
                    <w:jc w:val="center"/>
                    <w:jc w:val="center"/>
                  </w:pPr>
                  <w:r>
                    <w:t xml:space="preserve">SBBR</w:t>
                  </w:r>
                </w:p>
              </w:tc>
              <w:tc>
                <w:tcPr/>
                <w:p>
                  <w:pPr>
                    <w:pStyle w:val="Compact"/>
                    <w:jc w:val="center"/>
                    <w:jc w:val="center"/>
                  </w:pPr>
                  <w:r>
                    <w:t xml:space="preserve">SBRJ</w:t>
                  </w:r>
                </w:p>
              </w:tc>
              <w:tc>
                <w:tcPr/>
                <w:p>
                  <w:pPr>
                    <w:pStyle w:val="Compact"/>
                    <w:jc w:val="center"/>
                    <w:jc w:val="center"/>
                  </w:pPr>
                  <w:r>
                    <w:t xml:space="preserve">3461</w:t>
                  </w:r>
                </w:p>
              </w:tc>
              <w:tc>
                <w:tcPr/>
                <w:p>
                  <w:pPr>
                    <w:pStyle w:val="Compact"/>
                    <w:jc w:val="center"/>
                    <w:jc w:val="center"/>
                  </w:pPr>
                  <w:r>
                    <w:t xml:space="preserve">4313</w:t>
                  </w:r>
                </w:p>
              </w:tc>
              <w:tc>
                <w:tcPr/>
                <w:p>
                  <w:pPr>
                    <w:pStyle w:val="Compact"/>
                    <w:jc w:val="center"/>
                    <w:jc w:val="center"/>
                  </w:pPr>
                  <w:r>
                    <w:t xml:space="preserve">852</w:t>
                  </w:r>
                </w:p>
              </w:tc>
              <w:tc>
                <w:tcPr/>
                <w:p>
                  <w:pPr>
                    <w:pStyle w:val="Compact"/>
                    <w:jc w:val="center"/>
                    <w:jc w:val="center"/>
                  </w:pPr>
                  <w:r>
                    <w:t xml:space="preserve">24.6%</w:t>
                  </w:r>
                </w:p>
              </w:tc>
            </w:tr>
            <w:tr>
              <w:tc>
                <w:tcPr/>
                <w:p>
                  <w:pPr>
                    <w:pStyle w:val="Compact"/>
                    <w:jc w:val="center"/>
                    <w:jc w:val="center"/>
                  </w:pPr>
                  <w:r>
                    <w:t xml:space="preserve">24°</w:t>
                  </w:r>
                </w:p>
              </w:tc>
              <w:tc>
                <w:tcPr/>
                <w:p>
                  <w:pPr>
                    <w:pStyle w:val="Compact"/>
                    <w:jc w:val="center"/>
                    <w:jc w:val="center"/>
                  </w:pPr>
                  <w:r>
                    <w:t xml:space="preserve">SBGR</w:t>
                  </w:r>
                </w:p>
              </w:tc>
              <w:tc>
                <w:tcPr/>
                <w:p>
                  <w:pPr>
                    <w:pStyle w:val="Compact"/>
                    <w:jc w:val="center"/>
                    <w:jc w:val="center"/>
                  </w:pPr>
                  <w:r>
                    <w:t xml:space="preserve">SBSV</w:t>
                  </w:r>
                </w:p>
              </w:tc>
              <w:tc>
                <w:tcPr/>
                <w:p>
                  <w:pPr>
                    <w:pStyle w:val="Compact"/>
                    <w:jc w:val="center"/>
                    <w:jc w:val="center"/>
                  </w:pPr>
                  <w:r>
                    <w:t xml:space="preserve">3967</w:t>
                  </w:r>
                </w:p>
              </w:tc>
              <w:tc>
                <w:tcPr/>
                <w:p>
                  <w:pPr>
                    <w:pStyle w:val="Compact"/>
                    <w:jc w:val="center"/>
                    <w:jc w:val="center"/>
                  </w:pPr>
                  <w:r>
                    <w:t xml:space="preserve">4301</w:t>
                  </w:r>
                </w:p>
              </w:tc>
              <w:tc>
                <w:tcPr/>
                <w:p>
                  <w:pPr>
                    <w:pStyle w:val="Compact"/>
                    <w:jc w:val="center"/>
                    <w:jc w:val="center"/>
                  </w:pPr>
                  <w:r>
                    <w:t xml:space="preserve">334</w:t>
                  </w:r>
                </w:p>
              </w:tc>
              <w:tc>
                <w:tcPr/>
                <w:p>
                  <w:pPr>
                    <w:pStyle w:val="Compact"/>
                    <w:jc w:val="center"/>
                    <w:jc w:val="center"/>
                  </w:pPr>
                  <w:r>
                    <w:t xml:space="preserve">8.4%</w:t>
                  </w:r>
                </w:p>
              </w:tc>
            </w:tr>
            <w:tr>
              <w:tc>
                <w:tcPr/>
                <w:p>
                  <w:pPr>
                    <w:pStyle w:val="Compact"/>
                    <w:jc w:val="center"/>
                    <w:jc w:val="center"/>
                  </w:pPr>
                  <w:r>
                    <w:t xml:space="preserve">25°</w:t>
                  </w:r>
                </w:p>
              </w:tc>
              <w:tc>
                <w:tcPr/>
                <w:p>
                  <w:pPr>
                    <w:pStyle w:val="Compact"/>
                    <w:jc w:val="center"/>
                    <w:jc w:val="center"/>
                  </w:pPr>
                  <w:r>
                    <w:t xml:space="preserve">SBFZ</w:t>
                  </w:r>
                </w:p>
              </w:tc>
              <w:tc>
                <w:tcPr/>
                <w:p>
                  <w:pPr>
                    <w:pStyle w:val="Compact"/>
                    <w:jc w:val="center"/>
                    <w:jc w:val="center"/>
                  </w:pPr>
                  <w:r>
                    <w:t xml:space="preserve">SBGR</w:t>
                  </w:r>
                </w:p>
              </w:tc>
              <w:tc>
                <w:tcPr/>
                <w:p>
                  <w:pPr>
                    <w:pStyle w:val="Compact"/>
                    <w:jc w:val="center"/>
                    <w:jc w:val="center"/>
                  </w:pPr>
                  <w:r>
                    <w:t xml:space="preserve">3854</w:t>
                  </w:r>
                </w:p>
              </w:tc>
              <w:tc>
                <w:tcPr/>
                <w:p>
                  <w:pPr>
                    <w:pStyle w:val="Compact"/>
                    <w:jc w:val="center"/>
                    <w:jc w:val="center"/>
                  </w:pPr>
                  <w:r>
                    <w:t xml:space="preserve">4154</w:t>
                  </w:r>
                </w:p>
              </w:tc>
              <w:tc>
                <w:tcPr/>
                <w:p>
                  <w:pPr>
                    <w:pStyle w:val="Compact"/>
                    <w:jc w:val="center"/>
                    <w:jc w:val="center"/>
                  </w:pPr>
                  <w:r>
                    <w:t xml:space="preserve">300</w:t>
                  </w:r>
                </w:p>
              </w:tc>
              <w:tc>
                <w:tcPr/>
                <w:p>
                  <w:pPr>
                    <w:pStyle w:val="Compact"/>
                    <w:jc w:val="center"/>
                    <w:jc w:val="center"/>
                  </w:pPr>
                  <w:r>
                    <w:t xml:space="preserve">7.8%</w:t>
                  </w:r>
                </w:p>
              </w:tc>
            </w:tr>
            <w:tr>
              <w:tc>
                <w:tcPr/>
                <w:p>
                  <w:pPr>
                    <w:pStyle w:val="Compact"/>
                    <w:jc w:val="center"/>
                    <w:jc w:val="center"/>
                  </w:pPr>
                  <w:r>
                    <w:t xml:space="preserve">26°</w:t>
                  </w:r>
                </w:p>
              </w:tc>
              <w:tc>
                <w:tcPr/>
                <w:p>
                  <w:pPr>
                    <w:pStyle w:val="Compact"/>
                    <w:jc w:val="center"/>
                    <w:jc w:val="center"/>
                  </w:pPr>
                  <w:r>
                    <w:t xml:space="preserve">SBSV</w:t>
                  </w:r>
                </w:p>
              </w:tc>
              <w:tc>
                <w:tcPr/>
                <w:p>
                  <w:pPr>
                    <w:pStyle w:val="Compact"/>
                    <w:jc w:val="center"/>
                    <w:jc w:val="center"/>
                  </w:pPr>
                  <w:r>
                    <w:t xml:space="preserve">SBGR</w:t>
                  </w:r>
                </w:p>
              </w:tc>
              <w:tc>
                <w:tcPr/>
                <w:p>
                  <w:pPr>
                    <w:pStyle w:val="Compact"/>
                    <w:jc w:val="center"/>
                    <w:jc w:val="center"/>
                  </w:pPr>
                  <w:r>
                    <w:t xml:space="preserve">3736</w:t>
                  </w:r>
                </w:p>
              </w:tc>
              <w:tc>
                <w:tcPr/>
                <w:p>
                  <w:pPr>
                    <w:pStyle w:val="Compact"/>
                    <w:jc w:val="center"/>
                    <w:jc w:val="center"/>
                  </w:pPr>
                  <w:r>
                    <w:t xml:space="preserve">4147</w:t>
                  </w:r>
                </w:p>
              </w:tc>
              <w:tc>
                <w:tcPr/>
                <w:p>
                  <w:pPr>
                    <w:pStyle w:val="Compact"/>
                    <w:jc w:val="center"/>
                    <w:jc w:val="center"/>
                  </w:pPr>
                  <w:r>
                    <w:t xml:space="preserve">411</w:t>
                  </w:r>
                </w:p>
              </w:tc>
              <w:tc>
                <w:tcPr/>
                <w:p>
                  <w:pPr>
                    <w:pStyle w:val="Compact"/>
                    <w:jc w:val="center"/>
                    <w:jc w:val="center"/>
                  </w:pPr>
                  <w:r>
                    <w:t xml:space="preserve">11%</w:t>
                  </w:r>
                </w:p>
              </w:tc>
            </w:tr>
            <w:tr>
              <w:tc>
                <w:tcPr/>
                <w:p>
                  <w:pPr>
                    <w:pStyle w:val="Compact"/>
                    <w:jc w:val="center"/>
                    <w:jc w:val="center"/>
                  </w:pPr>
                  <w:r>
                    <w:t xml:space="preserve">27°</w:t>
                  </w:r>
                </w:p>
              </w:tc>
              <w:tc>
                <w:tcPr/>
                <w:p>
                  <w:pPr>
                    <w:pStyle w:val="Compact"/>
                    <w:jc w:val="center"/>
                    <w:jc w:val="center"/>
                  </w:pPr>
                  <w:r>
                    <w:t xml:space="preserve">SBSP</w:t>
                  </w:r>
                </w:p>
              </w:tc>
              <w:tc>
                <w:tcPr/>
                <w:p>
                  <w:pPr>
                    <w:pStyle w:val="Compact"/>
                    <w:jc w:val="center"/>
                    <w:jc w:val="center"/>
                  </w:pPr>
                  <w:r>
                    <w:t xml:space="preserve">SBRF</w:t>
                  </w:r>
                </w:p>
              </w:tc>
              <w:tc>
                <w:tcPr/>
                <w:p>
                  <w:pPr>
                    <w:pStyle w:val="Compact"/>
                    <w:jc w:val="center"/>
                    <w:jc w:val="center"/>
                  </w:pPr>
                  <w:r>
                    <w:t xml:space="preserve">3787</w:t>
                  </w:r>
                </w:p>
              </w:tc>
              <w:tc>
                <w:tcPr/>
                <w:p>
                  <w:pPr>
                    <w:pStyle w:val="Compact"/>
                    <w:jc w:val="center"/>
                    <w:jc w:val="center"/>
                  </w:pPr>
                  <w:r>
                    <w:t xml:space="preserve">3898</w:t>
                  </w:r>
                </w:p>
              </w:tc>
              <w:tc>
                <w:tcPr/>
                <w:p>
                  <w:pPr>
                    <w:pStyle w:val="Compact"/>
                    <w:jc w:val="center"/>
                    <w:jc w:val="center"/>
                  </w:pPr>
                  <w:r>
                    <w:t xml:space="preserve">111</w:t>
                  </w:r>
                </w:p>
              </w:tc>
              <w:tc>
                <w:tcPr/>
                <w:p>
                  <w:pPr>
                    <w:pStyle w:val="Compact"/>
                    <w:jc w:val="center"/>
                    <w:jc w:val="center"/>
                  </w:pPr>
                  <w:r>
                    <w:t xml:space="preserve">2.9%</w:t>
                  </w:r>
                </w:p>
              </w:tc>
            </w:tr>
            <w:tr>
              <w:tc>
                <w:tcPr/>
                <w:p>
                  <w:pPr>
                    <w:pStyle w:val="Compact"/>
                    <w:jc w:val="center"/>
                    <w:jc w:val="center"/>
                  </w:pPr>
                  <w:r>
                    <w:t xml:space="preserve">28°</w:t>
                  </w:r>
                </w:p>
              </w:tc>
              <w:tc>
                <w:tcPr/>
                <w:p>
                  <w:pPr>
                    <w:pStyle w:val="Compact"/>
                    <w:jc w:val="center"/>
                    <w:jc w:val="center"/>
                  </w:pPr>
                  <w:r>
                    <w:t xml:space="preserve">SBRF</w:t>
                  </w:r>
                </w:p>
              </w:tc>
              <w:tc>
                <w:tcPr/>
                <w:p>
                  <w:pPr>
                    <w:pStyle w:val="Compact"/>
                    <w:jc w:val="center"/>
                    <w:jc w:val="center"/>
                  </w:pPr>
                  <w:r>
                    <w:t xml:space="preserve">SBSP</w:t>
                  </w:r>
                </w:p>
              </w:tc>
              <w:tc>
                <w:tcPr/>
                <w:p>
                  <w:pPr>
                    <w:pStyle w:val="Compact"/>
                    <w:jc w:val="center"/>
                    <w:jc w:val="center"/>
                  </w:pPr>
                  <w:r>
                    <w:t xml:space="preserve">3754</w:t>
                  </w:r>
                </w:p>
              </w:tc>
              <w:tc>
                <w:tcPr/>
                <w:p>
                  <w:pPr>
                    <w:pStyle w:val="Compact"/>
                    <w:jc w:val="center"/>
                    <w:jc w:val="center"/>
                  </w:pPr>
                  <w:r>
                    <w:t xml:space="preserve">3878</w:t>
                  </w:r>
                </w:p>
              </w:tc>
              <w:tc>
                <w:tcPr/>
                <w:p>
                  <w:pPr>
                    <w:pStyle w:val="Compact"/>
                    <w:jc w:val="center"/>
                    <w:jc w:val="center"/>
                  </w:pPr>
                  <w:r>
                    <w:t xml:space="preserve">124</w:t>
                  </w:r>
                </w:p>
              </w:tc>
              <w:tc>
                <w:tcPr/>
                <w:p>
                  <w:pPr>
                    <w:pStyle w:val="Compact"/>
                    <w:jc w:val="center"/>
                    <w:jc w:val="center"/>
                  </w:pPr>
                  <w:r>
                    <w:t xml:space="preserve">3.3%</w:t>
                  </w:r>
                </w:p>
              </w:tc>
            </w:tr>
            <w:tr>
              <w:tc>
                <w:tcPr/>
                <w:p>
                  <w:pPr>
                    <w:pStyle w:val="Compact"/>
                    <w:jc w:val="center"/>
                    <w:jc w:val="center"/>
                  </w:pPr>
                  <w:r>
                    <w:t xml:space="preserve">29°</w:t>
                  </w:r>
                </w:p>
              </w:tc>
              <w:tc>
                <w:tcPr/>
                <w:p>
                  <w:pPr>
                    <w:pStyle w:val="Compact"/>
                    <w:jc w:val="center"/>
                    <w:jc w:val="center"/>
                  </w:pPr>
                  <w:r>
                    <w:t xml:space="preserve">SBGR</w:t>
                  </w:r>
                </w:p>
              </w:tc>
              <w:tc>
                <w:tcPr/>
                <w:p>
                  <w:pPr>
                    <w:pStyle w:val="Compact"/>
                    <w:jc w:val="center"/>
                    <w:jc w:val="center"/>
                  </w:pPr>
                  <w:r>
                    <w:t xml:space="preserve">SBFZ</w:t>
                  </w:r>
                </w:p>
              </w:tc>
              <w:tc>
                <w:tcPr/>
                <w:p>
                  <w:pPr>
                    <w:pStyle w:val="Compact"/>
                    <w:jc w:val="center"/>
                    <w:jc w:val="center"/>
                  </w:pPr>
                  <w:r>
                    <w:t xml:space="preserve">3562</w:t>
                  </w:r>
                </w:p>
              </w:tc>
              <w:tc>
                <w:tcPr/>
                <w:p>
                  <w:pPr>
                    <w:pStyle w:val="Compact"/>
                    <w:jc w:val="center"/>
                    <w:jc w:val="center"/>
                  </w:pPr>
                  <w:r>
                    <w:t xml:space="preserve">3874</w:t>
                  </w:r>
                </w:p>
              </w:tc>
              <w:tc>
                <w:tcPr/>
                <w:p>
                  <w:pPr>
                    <w:pStyle w:val="Compact"/>
                    <w:jc w:val="center"/>
                    <w:jc w:val="center"/>
                  </w:pPr>
                  <w:r>
                    <w:t xml:space="preserve">312</w:t>
                  </w:r>
                </w:p>
              </w:tc>
              <w:tc>
                <w:tcPr/>
                <w:p>
                  <w:pPr>
                    <w:pStyle w:val="Compact"/>
                    <w:jc w:val="center"/>
                    <w:jc w:val="center"/>
                  </w:pPr>
                  <w:r>
                    <w:t xml:space="preserve">8.8%</w:t>
                  </w:r>
                </w:p>
              </w:tc>
            </w:tr>
            <w:tr>
              <w:tc>
                <w:tcPr/>
                <w:p>
                  <w:pPr>
                    <w:pStyle w:val="Compact"/>
                    <w:jc w:val="center"/>
                    <w:jc w:val="center"/>
                  </w:pPr>
                  <w:r>
                    <w:t xml:space="preserve">30°</w:t>
                  </w:r>
                </w:p>
              </w:tc>
              <w:tc>
                <w:tcPr/>
                <w:p>
                  <w:pPr>
                    <w:pStyle w:val="Compact"/>
                    <w:jc w:val="center"/>
                    <w:jc w:val="center"/>
                  </w:pPr>
                  <w:r>
                    <w:t xml:space="preserve">SBFL</w:t>
                  </w:r>
                </w:p>
              </w:tc>
              <w:tc>
                <w:tcPr/>
                <w:p>
                  <w:pPr>
                    <w:pStyle w:val="Compact"/>
                    <w:jc w:val="center"/>
                    <w:jc w:val="center"/>
                  </w:pPr>
                  <w:r>
                    <w:t xml:space="preserve">SBGR</w:t>
                  </w:r>
                </w:p>
              </w:tc>
              <w:tc>
                <w:tcPr/>
                <w:p>
                  <w:pPr>
                    <w:pStyle w:val="Compact"/>
                    <w:jc w:val="center"/>
                    <w:jc w:val="center"/>
                  </w:pPr>
                  <w:r>
                    <w:t xml:space="preserve">3256</w:t>
                  </w:r>
                </w:p>
              </w:tc>
              <w:tc>
                <w:tcPr/>
                <w:p>
                  <w:pPr>
                    <w:pStyle w:val="Compact"/>
                    <w:jc w:val="center"/>
                    <w:jc w:val="center"/>
                  </w:pPr>
                  <w:r>
                    <w:t xml:space="preserve">3527</w:t>
                  </w:r>
                </w:p>
              </w:tc>
              <w:tc>
                <w:tcPr/>
                <w:p>
                  <w:pPr>
                    <w:pStyle w:val="Compact"/>
                    <w:jc w:val="center"/>
                    <w:jc w:val="center"/>
                  </w:pPr>
                  <w:r>
                    <w:t xml:space="preserve">271</w:t>
                  </w:r>
                </w:p>
              </w:tc>
              <w:tc>
                <w:tcPr/>
                <w:p>
                  <w:pPr>
                    <w:pStyle w:val="Compact"/>
                    <w:jc w:val="center"/>
                    <w:jc w:val="center"/>
                  </w:pPr>
                  <w:r>
                    <w:t xml:space="preserve">8.3%</w:t>
                  </w:r>
                </w:p>
              </w:tc>
            </w:tr>
            <w:tr>
              <w:tc>
                <w:tcPr/>
                <w:p>
                  <w:pPr>
                    <w:pStyle w:val="Compact"/>
                    <w:jc w:val="center"/>
                    <w:jc w:val="center"/>
                  </w:pPr>
                  <w:r>
                    <w:t xml:space="preserve">31°</w:t>
                  </w:r>
                </w:p>
              </w:tc>
              <w:tc>
                <w:tcPr/>
                <w:p>
                  <w:pPr>
                    <w:pStyle w:val="Compact"/>
                    <w:jc w:val="center"/>
                    <w:jc w:val="center"/>
                  </w:pPr>
                  <w:r>
                    <w:t xml:space="preserve">SBGR</w:t>
                  </w:r>
                </w:p>
              </w:tc>
              <w:tc>
                <w:tcPr/>
                <w:p>
                  <w:pPr>
                    <w:pStyle w:val="Compact"/>
                    <w:jc w:val="center"/>
                    <w:jc w:val="center"/>
                  </w:pPr>
                  <w:r>
                    <w:t xml:space="preserve">SBFL</w:t>
                  </w:r>
                </w:p>
              </w:tc>
              <w:tc>
                <w:tcPr/>
                <w:p>
                  <w:pPr>
                    <w:pStyle w:val="Compact"/>
                    <w:jc w:val="center"/>
                    <w:jc w:val="center"/>
                  </w:pPr>
                  <w:r>
                    <w:t xml:space="preserve">3244</w:t>
                  </w:r>
                </w:p>
              </w:tc>
              <w:tc>
                <w:tcPr/>
                <w:p>
                  <w:pPr>
                    <w:pStyle w:val="Compact"/>
                    <w:jc w:val="center"/>
                    <w:jc w:val="center"/>
                  </w:pPr>
                  <w:r>
                    <w:t xml:space="preserve">3517</w:t>
                  </w:r>
                </w:p>
              </w:tc>
              <w:tc>
                <w:tcPr/>
                <w:p>
                  <w:pPr>
                    <w:pStyle w:val="Compact"/>
                    <w:jc w:val="center"/>
                    <w:jc w:val="center"/>
                  </w:pPr>
                  <w:r>
                    <w:t xml:space="preserve">273</w:t>
                  </w:r>
                </w:p>
              </w:tc>
              <w:tc>
                <w:tcPr/>
                <w:p>
                  <w:pPr>
                    <w:pStyle w:val="Compact"/>
                    <w:jc w:val="center"/>
                    <w:jc w:val="center"/>
                  </w:pPr>
                  <w:r>
                    <w:t xml:space="preserve">8.4%</w:t>
                  </w:r>
                </w:p>
              </w:tc>
            </w:tr>
            <w:tr>
              <w:tc>
                <w:tcPr/>
                <w:p>
                  <w:pPr>
                    <w:pStyle w:val="Compact"/>
                    <w:jc w:val="center"/>
                    <w:jc w:val="center"/>
                  </w:pPr>
                  <w:r>
                    <w:t xml:space="preserve">32°</w:t>
                  </w:r>
                </w:p>
              </w:tc>
              <w:tc>
                <w:tcPr/>
                <w:p>
                  <w:pPr>
                    <w:pStyle w:val="Compact"/>
                    <w:jc w:val="center"/>
                    <w:jc w:val="center"/>
                  </w:pPr>
                  <w:r>
                    <w:t xml:space="preserve">SBVT</w:t>
                  </w:r>
                </w:p>
              </w:tc>
              <w:tc>
                <w:tcPr/>
                <w:p>
                  <w:pPr>
                    <w:pStyle w:val="Compact"/>
                    <w:jc w:val="center"/>
                    <w:jc w:val="center"/>
                  </w:pPr>
                  <w:r>
                    <w:t xml:space="preserve">SBGR</w:t>
                  </w:r>
                </w:p>
              </w:tc>
              <w:tc>
                <w:tcPr/>
                <w:p>
                  <w:pPr>
                    <w:pStyle w:val="Compact"/>
                    <w:jc w:val="center"/>
                    <w:jc w:val="center"/>
                  </w:pPr>
                  <w:r>
                    <w:t xml:space="preserve">2878</w:t>
                  </w:r>
                </w:p>
              </w:tc>
              <w:tc>
                <w:tcPr/>
                <w:p>
                  <w:pPr>
                    <w:pStyle w:val="Compact"/>
                    <w:jc w:val="center"/>
                    <w:jc w:val="center"/>
                  </w:pPr>
                  <w:r>
                    <w:t xml:space="preserve">3199</w:t>
                  </w:r>
                </w:p>
              </w:tc>
              <w:tc>
                <w:tcPr/>
                <w:p>
                  <w:pPr>
                    <w:pStyle w:val="Compact"/>
                    <w:jc w:val="center"/>
                    <w:jc w:val="center"/>
                  </w:pPr>
                  <w:r>
                    <w:t xml:space="preserve">321</w:t>
                  </w:r>
                </w:p>
              </w:tc>
              <w:tc>
                <w:tcPr/>
                <w:p>
                  <w:pPr>
                    <w:pStyle w:val="Compact"/>
                    <w:jc w:val="center"/>
                    <w:jc w:val="center"/>
                  </w:pPr>
                  <w:r>
                    <w:t xml:space="preserve">11.2%</w:t>
                  </w:r>
                </w:p>
              </w:tc>
            </w:tr>
            <w:tr>
              <w:tc>
                <w:tcPr/>
                <w:p>
                  <w:pPr>
                    <w:pStyle w:val="Compact"/>
                    <w:jc w:val="center"/>
                    <w:jc w:val="center"/>
                  </w:pPr>
                  <w:r>
                    <w:t xml:space="preserve">33°</w:t>
                  </w:r>
                </w:p>
              </w:tc>
              <w:tc>
                <w:tcPr/>
                <w:p>
                  <w:pPr>
                    <w:pStyle w:val="Compact"/>
                    <w:jc w:val="center"/>
                    <w:jc w:val="center"/>
                  </w:pPr>
                  <w:r>
                    <w:t xml:space="preserve">SBCF</w:t>
                  </w:r>
                </w:p>
              </w:tc>
              <w:tc>
                <w:tcPr/>
                <w:p>
                  <w:pPr>
                    <w:pStyle w:val="Compact"/>
                    <w:jc w:val="center"/>
                    <w:jc w:val="center"/>
                  </w:pPr>
                  <w:r>
                    <w:t xml:space="preserve">SBKP</w:t>
                  </w:r>
                </w:p>
              </w:tc>
              <w:tc>
                <w:tcPr/>
                <w:p>
                  <w:pPr>
                    <w:pStyle w:val="Compact"/>
                    <w:jc w:val="center"/>
                    <w:jc w:val="center"/>
                  </w:pPr>
                  <w:r>
                    <w:t xml:space="preserve">3653</w:t>
                  </w:r>
                </w:p>
              </w:tc>
              <w:tc>
                <w:tcPr/>
                <w:p>
                  <w:pPr>
                    <w:pStyle w:val="Compact"/>
                    <w:jc w:val="center"/>
                    <w:jc w:val="center"/>
                  </w:pPr>
                  <w:r>
                    <w:t xml:space="preserve">3170</w:t>
                  </w:r>
                </w:p>
              </w:tc>
              <w:tc>
                <w:tcPr/>
                <w:p>
                  <w:pPr>
                    <w:pStyle w:val="Compact"/>
                    <w:jc w:val="center"/>
                    <w:jc w:val="center"/>
                  </w:pPr>
                  <w:r>
                    <w:t xml:space="preserve">-483</w:t>
                  </w:r>
                </w:p>
              </w:tc>
              <w:tc>
                <w:tcPr/>
                <w:p>
                  <w:pPr>
                    <w:pStyle w:val="Compact"/>
                    <w:jc w:val="center"/>
                    <w:jc w:val="center"/>
                  </w:pPr>
                  <w:r>
                    <w:t xml:space="preserve">-13.2%</w:t>
                  </w:r>
                </w:p>
              </w:tc>
            </w:tr>
            <w:tr>
              <w:tc>
                <w:tcPr/>
                <w:p>
                  <w:pPr>
                    <w:pStyle w:val="Compact"/>
                    <w:jc w:val="center"/>
                    <w:jc w:val="center"/>
                  </w:pPr>
                  <w:r>
                    <w:t xml:space="preserve">34°</w:t>
                  </w:r>
                </w:p>
              </w:tc>
              <w:tc>
                <w:tcPr/>
                <w:p>
                  <w:pPr>
                    <w:pStyle w:val="Compact"/>
                    <w:jc w:val="center"/>
                    <w:jc w:val="center"/>
                  </w:pPr>
                  <w:r>
                    <w:t xml:space="preserve">SBGO</w:t>
                  </w:r>
                </w:p>
              </w:tc>
              <w:tc>
                <w:tcPr/>
                <w:p>
                  <w:pPr>
                    <w:pStyle w:val="Compact"/>
                    <w:jc w:val="center"/>
                    <w:jc w:val="center"/>
                  </w:pPr>
                  <w:r>
                    <w:t xml:space="preserve">SBGR</w:t>
                  </w:r>
                </w:p>
              </w:tc>
              <w:tc>
                <w:tcPr/>
                <w:p>
                  <w:pPr>
                    <w:pStyle w:val="Compact"/>
                    <w:jc w:val="center"/>
                    <w:jc w:val="center"/>
                  </w:pPr>
                  <w:r>
                    <w:t xml:space="preserve">2896</w:t>
                  </w:r>
                </w:p>
              </w:tc>
              <w:tc>
                <w:tcPr/>
                <w:p>
                  <w:pPr>
                    <w:pStyle w:val="Compact"/>
                    <w:jc w:val="center"/>
                    <w:jc w:val="center"/>
                  </w:pPr>
                  <w:r>
                    <w:t xml:space="preserve">2910</w:t>
                  </w:r>
                </w:p>
              </w:tc>
              <w:tc>
                <w:tcPr/>
                <w:p>
                  <w:pPr>
                    <w:pStyle w:val="Compact"/>
                    <w:jc w:val="center"/>
                    <w:jc w:val="center"/>
                  </w:pPr>
                  <w:r>
                    <w:t xml:space="preserve">14</w:t>
                  </w:r>
                </w:p>
              </w:tc>
              <w:tc>
                <w:tcPr/>
                <w:p>
                  <w:pPr>
                    <w:pStyle w:val="Compact"/>
                    <w:jc w:val="center"/>
                    <w:jc w:val="center"/>
                  </w:pPr>
                  <w:r>
                    <w:t xml:space="preserve">0.5%</w:t>
                  </w:r>
                </w:p>
              </w:tc>
            </w:tr>
            <w:tr>
              <w:tc>
                <w:tcPr/>
                <w:p>
                  <w:pPr>
                    <w:pStyle w:val="Compact"/>
                    <w:jc w:val="center"/>
                    <w:jc w:val="center"/>
                  </w:pPr>
                  <w:r>
                    <w:t xml:space="preserve">35°</w:t>
                  </w:r>
                </w:p>
              </w:tc>
              <w:tc>
                <w:tcPr/>
                <w:p>
                  <w:pPr>
                    <w:pStyle w:val="Compact"/>
                    <w:jc w:val="center"/>
                    <w:jc w:val="center"/>
                  </w:pPr>
                  <w:r>
                    <w:t xml:space="preserve">SBRJ</w:t>
                  </w:r>
                </w:p>
              </w:tc>
              <w:tc>
                <w:tcPr/>
                <w:p>
                  <w:pPr>
                    <w:pStyle w:val="Compact"/>
                    <w:jc w:val="center"/>
                    <w:jc w:val="center"/>
                  </w:pPr>
                  <w:r>
                    <w:t xml:space="preserve">SBKP</w:t>
                  </w:r>
                </w:p>
              </w:tc>
              <w:tc>
                <w:tcPr/>
                <w:p>
                  <w:pPr>
                    <w:pStyle w:val="Compact"/>
                    <w:jc w:val="center"/>
                    <w:jc w:val="center"/>
                  </w:pPr>
                  <w:r>
                    <w:t xml:space="preserve">2628</w:t>
                  </w:r>
                </w:p>
              </w:tc>
              <w:tc>
                <w:tcPr/>
                <w:p>
                  <w:pPr>
                    <w:pStyle w:val="Compact"/>
                    <w:jc w:val="center"/>
                    <w:jc w:val="center"/>
                  </w:pPr>
                  <w:r>
                    <w:t xml:space="preserve">2644</w:t>
                  </w:r>
                </w:p>
              </w:tc>
              <w:tc>
                <w:tcPr/>
                <w:p>
                  <w:pPr>
                    <w:pStyle w:val="Compact"/>
                    <w:jc w:val="center"/>
                    <w:jc w:val="center"/>
                  </w:pPr>
                  <w:r>
                    <w:t xml:space="preserve">16</w:t>
                  </w:r>
                </w:p>
              </w:tc>
              <w:tc>
                <w:tcPr/>
                <w:p>
                  <w:pPr>
                    <w:pStyle w:val="Compact"/>
                    <w:jc w:val="center"/>
                    <w:jc w:val="center"/>
                  </w:pPr>
                  <w:r>
                    <w:t xml:space="preserve">0.6%</w:t>
                  </w:r>
                </w:p>
              </w:tc>
            </w:tr>
            <w:tr>
              <w:tc>
                <w:tcPr/>
                <w:p>
                  <w:pPr>
                    <w:pStyle w:val="Compact"/>
                    <w:jc w:val="center"/>
                    <w:jc w:val="center"/>
                  </w:pPr>
                  <w:r>
                    <w:t xml:space="preserve">36°</w:t>
                  </w:r>
                </w:p>
              </w:tc>
              <w:tc>
                <w:tcPr/>
                <w:p>
                  <w:pPr>
                    <w:pStyle w:val="Compact"/>
                    <w:jc w:val="center"/>
                    <w:jc w:val="center"/>
                  </w:pPr>
                  <w:r>
                    <w:t xml:space="preserve">SBKP</w:t>
                  </w:r>
                </w:p>
              </w:tc>
              <w:tc>
                <w:tcPr/>
                <w:p>
                  <w:pPr>
                    <w:pStyle w:val="Compact"/>
                    <w:jc w:val="center"/>
                    <w:jc w:val="center"/>
                  </w:pPr>
                  <w:r>
                    <w:t xml:space="preserve">SBRJ</w:t>
                  </w:r>
                </w:p>
              </w:tc>
              <w:tc>
                <w:tcPr/>
                <w:p>
                  <w:pPr>
                    <w:pStyle w:val="Compact"/>
                    <w:jc w:val="center"/>
                    <w:jc w:val="center"/>
                  </w:pPr>
                  <w:r>
                    <w:t xml:space="preserve">2571</w:t>
                  </w:r>
                </w:p>
              </w:tc>
              <w:tc>
                <w:tcPr/>
                <w:p>
                  <w:pPr>
                    <w:pStyle w:val="Compact"/>
                    <w:jc w:val="center"/>
                    <w:jc w:val="center"/>
                  </w:pPr>
                  <w:r>
                    <w:t xml:space="preserve">2620</w:t>
                  </w:r>
                </w:p>
              </w:tc>
              <w:tc>
                <w:tcPr/>
                <w:p>
                  <w:pPr>
                    <w:pStyle w:val="Compact"/>
                    <w:jc w:val="center"/>
                    <w:jc w:val="center"/>
                  </w:pPr>
                  <w:r>
                    <w:t xml:space="preserve">49</w:t>
                  </w:r>
                </w:p>
              </w:tc>
              <w:tc>
                <w:tcPr/>
                <w:p>
                  <w:pPr>
                    <w:pStyle w:val="Compact"/>
                    <w:jc w:val="center"/>
                    <w:jc w:val="center"/>
                  </w:pPr>
                  <w:r>
                    <w:t xml:space="preserve">1.9%</w:t>
                  </w:r>
                </w:p>
              </w:tc>
            </w:tr>
            <w:tr>
              <w:tc>
                <w:tcPr/>
                <w:p>
                  <w:pPr>
                    <w:pStyle w:val="Compact"/>
                    <w:jc w:val="center"/>
                    <w:jc w:val="center"/>
                  </w:pPr>
                  <w:r>
                    <w:t xml:space="preserve">37°</w:t>
                  </w:r>
                </w:p>
              </w:tc>
              <w:tc>
                <w:tcPr/>
                <w:p>
                  <w:pPr>
                    <w:pStyle w:val="Compact"/>
                    <w:jc w:val="center"/>
                    <w:jc w:val="center"/>
                  </w:pPr>
                  <w:r>
                    <w:t xml:space="preserve">SBKP</w:t>
                  </w:r>
                </w:p>
              </w:tc>
              <w:tc>
                <w:tcPr/>
                <w:p>
                  <w:pPr>
                    <w:pStyle w:val="Compact"/>
                    <w:jc w:val="center"/>
                    <w:jc w:val="center"/>
                  </w:pPr>
                  <w:r>
                    <w:t xml:space="preserve">SBPA</w:t>
                  </w:r>
                </w:p>
              </w:tc>
              <w:tc>
                <w:tcPr/>
                <w:p>
                  <w:pPr>
                    <w:pStyle w:val="Compact"/>
                    <w:jc w:val="center"/>
                    <w:jc w:val="center"/>
                  </w:pPr>
                  <w:r>
                    <w:t xml:space="preserve">1439</w:t>
                  </w:r>
                </w:p>
              </w:tc>
              <w:tc>
                <w:tcPr/>
                <w:p>
                  <w:pPr>
                    <w:pStyle w:val="Compact"/>
                    <w:jc w:val="center"/>
                    <w:jc w:val="center"/>
                  </w:pPr>
                  <w:r>
                    <w:t xml:space="preserve">2491</w:t>
                  </w:r>
                </w:p>
              </w:tc>
              <w:tc>
                <w:tcPr/>
                <w:p>
                  <w:pPr>
                    <w:pStyle w:val="Compact"/>
                    <w:jc w:val="center"/>
                    <w:jc w:val="center"/>
                  </w:pPr>
                  <w:r>
                    <w:t xml:space="preserve">1052</w:t>
                  </w:r>
                </w:p>
              </w:tc>
              <w:tc>
                <w:tcPr/>
                <w:p>
                  <w:pPr>
                    <w:pStyle w:val="Compact"/>
                    <w:jc w:val="center"/>
                    <w:jc w:val="center"/>
                  </w:pPr>
                  <w:r>
                    <w:t xml:space="preserve">73.1%</w:t>
                  </w:r>
                </w:p>
              </w:tc>
            </w:tr>
            <w:tr>
              <w:tc>
                <w:tcPr/>
                <w:p>
                  <w:pPr>
                    <w:pStyle w:val="Compact"/>
                    <w:jc w:val="center"/>
                    <w:jc w:val="center"/>
                  </w:pPr>
                  <w:r>
                    <w:t xml:space="preserve">38°</w:t>
                  </w:r>
                </w:p>
              </w:tc>
              <w:tc>
                <w:tcPr/>
                <w:p>
                  <w:pPr>
                    <w:pStyle w:val="Compact"/>
                    <w:jc w:val="center"/>
                    <w:jc w:val="center"/>
                  </w:pPr>
                  <w:r>
                    <w:t xml:space="preserve">SBPA</w:t>
                  </w:r>
                </w:p>
              </w:tc>
              <w:tc>
                <w:tcPr/>
                <w:p>
                  <w:pPr>
                    <w:pStyle w:val="Compact"/>
                    <w:jc w:val="center"/>
                    <w:jc w:val="center"/>
                  </w:pPr>
                  <w:r>
                    <w:t xml:space="preserve">SBKP</w:t>
                  </w:r>
                </w:p>
              </w:tc>
              <w:tc>
                <w:tcPr/>
                <w:p>
                  <w:pPr>
                    <w:pStyle w:val="Compact"/>
                    <w:jc w:val="center"/>
                    <w:jc w:val="center"/>
                  </w:pPr>
                  <w:r>
                    <w:t xml:space="preserve">1449</w:t>
                  </w:r>
                </w:p>
              </w:tc>
              <w:tc>
                <w:tcPr/>
                <w:p>
                  <w:pPr>
                    <w:pStyle w:val="Compact"/>
                    <w:jc w:val="center"/>
                    <w:jc w:val="center"/>
                  </w:pPr>
                  <w:r>
                    <w:t xml:space="preserve">2480</w:t>
                  </w:r>
                </w:p>
              </w:tc>
              <w:tc>
                <w:tcPr/>
                <w:p>
                  <w:pPr>
                    <w:pStyle w:val="Compact"/>
                    <w:jc w:val="center"/>
                    <w:jc w:val="center"/>
                  </w:pPr>
                  <w:r>
                    <w:t xml:space="preserve">1031</w:t>
                  </w:r>
                </w:p>
              </w:tc>
              <w:tc>
                <w:tcPr/>
                <w:p>
                  <w:pPr>
                    <w:pStyle w:val="Compact"/>
                    <w:jc w:val="center"/>
                    <w:jc w:val="center"/>
                  </w:pPr>
                  <w:r>
                    <w:t xml:space="preserve">71.2%</w:t>
                  </w:r>
                </w:p>
              </w:tc>
            </w:tr>
            <w:tr>
              <w:tc>
                <w:tcPr/>
                <w:p>
                  <w:pPr>
                    <w:pStyle w:val="Compact"/>
                    <w:jc w:val="center"/>
                    <w:jc w:val="center"/>
                  </w:pPr>
                  <w:r>
                    <w:t xml:space="preserve">39°</w:t>
                  </w:r>
                </w:p>
              </w:tc>
              <w:tc>
                <w:tcPr/>
                <w:p>
                  <w:pPr>
                    <w:pStyle w:val="Compact"/>
                    <w:jc w:val="center"/>
                    <w:jc w:val="center"/>
                  </w:pPr>
                  <w:r>
                    <w:t xml:space="preserve">SBRJ</w:t>
                  </w:r>
                </w:p>
              </w:tc>
              <w:tc>
                <w:tcPr/>
                <w:p>
                  <w:pPr>
                    <w:pStyle w:val="Compact"/>
                    <w:jc w:val="center"/>
                    <w:jc w:val="center"/>
                  </w:pPr>
                  <w:r>
                    <w:t xml:space="preserve">SBGR</w:t>
                  </w:r>
                </w:p>
              </w:tc>
              <w:tc>
                <w:tcPr/>
                <w:p>
                  <w:pPr>
                    <w:pStyle w:val="Compact"/>
                    <w:jc w:val="center"/>
                    <w:jc w:val="center"/>
                  </w:pPr>
                  <w:r>
                    <w:t xml:space="preserve">1863</w:t>
                  </w:r>
                </w:p>
              </w:tc>
              <w:tc>
                <w:tcPr/>
                <w:p>
                  <w:pPr>
                    <w:pStyle w:val="Compact"/>
                    <w:jc w:val="center"/>
                    <w:jc w:val="center"/>
                  </w:pPr>
                  <w:r>
                    <w:t xml:space="preserve">1435</w:t>
                  </w:r>
                </w:p>
              </w:tc>
              <w:tc>
                <w:tcPr/>
                <w:p>
                  <w:pPr>
                    <w:pStyle w:val="Compact"/>
                    <w:jc w:val="center"/>
                    <w:jc w:val="center"/>
                  </w:pPr>
                  <w:r>
                    <w:t xml:space="preserve">-428</w:t>
                  </w:r>
                </w:p>
              </w:tc>
              <w:tc>
                <w:tcPr/>
                <w:p>
                  <w:pPr>
                    <w:pStyle w:val="Compact"/>
                    <w:jc w:val="center"/>
                    <w:jc w:val="center"/>
                  </w:pPr>
                  <w:r>
                    <w:t xml:space="preserve">-23%</w:t>
                  </w:r>
                </w:p>
              </w:tc>
            </w:tr>
            <w:tr>
              <w:tc>
                <w:tcPr/>
                <w:p>
                  <w:pPr>
                    <w:pStyle w:val="Compact"/>
                    <w:jc w:val="center"/>
                    <w:jc w:val="center"/>
                  </w:pPr>
                  <w:r>
                    <w:t xml:space="preserve">40°</w:t>
                  </w:r>
                </w:p>
              </w:tc>
              <w:tc>
                <w:tcPr/>
                <w:p>
                  <w:pPr>
                    <w:pStyle w:val="Compact"/>
                    <w:jc w:val="center"/>
                    <w:jc w:val="center"/>
                  </w:pPr>
                  <w:r>
                    <w:t xml:space="preserve">SBGR</w:t>
                  </w:r>
                </w:p>
              </w:tc>
              <w:tc>
                <w:tcPr/>
                <w:p>
                  <w:pPr>
                    <w:pStyle w:val="Compact"/>
                    <w:jc w:val="center"/>
                    <w:jc w:val="center"/>
                  </w:pPr>
                  <w:r>
                    <w:t xml:space="preserve">SBRJ</w:t>
                  </w:r>
                </w:p>
              </w:tc>
              <w:tc>
                <w:tcPr/>
                <w:p>
                  <w:pPr>
                    <w:pStyle w:val="Compact"/>
                    <w:jc w:val="center"/>
                    <w:jc w:val="center"/>
                  </w:pPr>
                  <w:r>
                    <w:t xml:space="preserve">1845</w:t>
                  </w:r>
                </w:p>
              </w:tc>
              <w:tc>
                <w:tcPr/>
                <w:p>
                  <w:pPr>
                    <w:pStyle w:val="Compact"/>
                    <w:jc w:val="center"/>
                    <w:jc w:val="center"/>
                  </w:pPr>
                  <w:r>
                    <w:t xml:space="preserve">1431</w:t>
                  </w:r>
                </w:p>
              </w:tc>
              <w:tc>
                <w:tcPr/>
                <w:p>
                  <w:pPr>
                    <w:pStyle w:val="Compact"/>
                    <w:jc w:val="center"/>
                    <w:jc w:val="center"/>
                  </w:pPr>
                  <w:r>
                    <w:t xml:space="preserve">-414</w:t>
                  </w:r>
                </w:p>
              </w:tc>
              <w:tc>
                <w:tcPr/>
                <w:p>
                  <w:pPr>
                    <w:pStyle w:val="Compact"/>
                    <w:jc w:val="center"/>
                    <w:jc w:val="center"/>
                  </w:pPr>
                  <w:r>
                    <w:t xml:space="preserve">-22.4%</w:t>
                  </w:r>
                </w:p>
              </w:tc>
            </w:tr>
          </w:tbl>
          <w:bookmarkEnd w:id="94"/>
          <w:p/>
        </w:tc>
      </w:tr>
    </w:tbl>
    <w:bookmarkEnd w:id="95"/>
    <w:bookmarkStart w:id="101" w:name="densidade-do-tráfego-aéreo"/>
    <w:p>
      <w:pPr>
        <w:pStyle w:val="Ttulo3"/>
      </w:pPr>
      <w:r>
        <w:t xml:space="preserve">2.2.5 DENSIDADE DO TRÁFEGO AÉREO</w:t>
      </w:r>
    </w:p>
    <w:p>
      <w:pPr>
        <w:pStyle w:val="FirstParagraph"/>
      </w:pPr>
      <w:r>
        <w:t xml:space="preserve">A densidade do tráfego aéreo, detalhada na</w:t>
      </w:r>
      <w:r>
        <w:t xml:space="preserve"> </w:t>
      </w:r>
      <w:hyperlink w:anchor="fig-densidade-trafego">
        <w:r>
          <w:rPr>
            <w:rStyle w:val="Hyperlink"/>
          </w:rPr>
          <w:t xml:space="preserve">Figura 2.9</w:t>
        </w:r>
      </w:hyperlink>
      <w:r>
        <w:t xml:space="preserve">, oferece uma métrica precisa da concentração de demanda ao relacionar o volume de voos controlados à extensão territorial de cada região. Nesse panorama, o CRCEA-SE destaca-se com o índice mais elevado do país, atingindo 11,35 voos/km², valor que evidencia a saturação de movimentos no eixo Rio-São Paulo.</w:t>
      </w:r>
    </w:p>
    <w:p>
      <w:pPr>
        <w:pStyle w:val="Corpodetexto"/>
      </w:pPr>
      <w:r>
        <w:t xml:space="preserve">Em contrapartida, o CINDACTA I consolida a região central como o segundo polo de convergência com uma densidade de 0,64 voos/km², enquanto as demais regiões apresentam valores que acompanham a descentralização do fluxo: 0,33 no CINDACTA II e 0,19 no CINDACTA III. O CINDACTA IV, devido à sua vasta dimensão territorial, registra a menor densidade relativa (0,07), caracterizando um espaço aéreo com tráfego mais distribuído.</w:t>
      </w:r>
    </w:p>
    <w:tbl>
      <w:tblPr>
        <w:tblStyle w:val="Table"/>
        <w:tblW w:type="pct" w:w="5000"/>
        <w:tblLayout w:type="fixed"/>
        <w:tblLook w:firstRow="0" w:lastRow="0" w:firstColumn="0" w:lastColumn="0" w:noHBand="0" w:noVBand="0" w:val="0000"/>
      </w:tblPr>
      <w:tblGrid>
        <w:gridCol w:w="7920"/>
      </w:tblGrid>
      <w:tr>
        <w:tc>
          <w:tcPr/>
          <w:bookmarkStart w:id="99" w:name="fig-densidade-trafego"/>
          <w:p>
            <w:pPr>
              <w:pStyle w:val="Compact"/>
              <w:jc w:val="center"/>
            </w:pPr>
            <w:r>
              <w:drawing>
                <wp:inline>
                  <wp:extent cx="6642100" cy="5060647"/>
                  <wp:effectExtent b="0" l="0" r="0" t="0"/>
                  <wp:docPr descr="" title="" id="97" name="Picture"/>
                  <a:graphic>
                    <a:graphicData uri="http://schemas.openxmlformats.org/drawingml/2006/picture">
                      <pic:pic>
                        <pic:nvPicPr>
                          <pic:cNvPr descr="02-CaracteristicadoSisceab_files/figure-docx/fig-densidade-trafego-1.png" id="98" name="Picture"/>
                          <pic:cNvPicPr>
                            <a:picLocks noChangeArrowheads="1" noChangeAspect="1"/>
                          </pic:cNvPicPr>
                        </pic:nvPicPr>
                        <pic:blipFill>
                          <a:blip r:embed="rId96"/>
                          <a:stretch>
                            <a:fillRect/>
                          </a:stretch>
                        </pic:blipFill>
                        <pic:spPr bwMode="auto">
                          <a:xfrm>
                            <a:off x="0" y="0"/>
                            <a:ext cx="6642100" cy="5060647"/>
                          </a:xfrm>
                          <a:prstGeom prst="rect">
                            <a:avLst/>
                          </a:prstGeom>
                          <a:noFill/>
                          <a:ln w="9525">
                            <a:noFill/>
                            <a:headEnd/>
                            <a:tailEnd/>
                          </a:ln>
                        </pic:spPr>
                      </pic:pic>
                    </a:graphicData>
                  </a:graphic>
                </wp:inline>
              </w:drawing>
            </w:r>
          </w:p>
          <w:p>
            <w:pPr>
              <w:jc w:val="center"/>
            </w:pPr>
            <w:pPr>
              <w:jc w:val="left"/>
              <w:spacing w:before="200"/>
              <w:pStyle w:val="ImageCaption"/>
            </w:pPr>
            <w:r>
              <w:t xml:space="preserve">Figura 2.9: Densidade de tráfego em 2025</w:t>
            </w:r>
          </w:p>
          <w:bookmarkEnd w:id="99"/>
        </w:tc>
      </w:tr>
    </w:tbl>
    <w:p>
      <w:pPr>
        <w:pStyle w:val="Corpodetexto"/>
      </w:pPr>
      <w:r>
        <w:t xml:space="preserve">Essa distribuição impacta diretamente a complexidade dos setores e a carga de trabalho dos controladores, visto que áreas de alta densidade exigem uma gestão de fluxo mais rigorosa.</w:t>
      </w:r>
    </w:p>
    <w:tbl>
      <w:tblPr>
        <w:tblStyle w:val="Table"/>
        <w:tblW w:type="pct" w:w="5000"/>
        <w:tblLayout w:type="fixed"/>
        <w:tblLook w:firstRow="0" w:lastRow="0" w:firstColumn="0" w:lastColumn="0" w:noHBand="0" w:noVBand="0" w:val="0000"/>
      </w:tblPr>
      <w:tblGrid>
        <w:gridCol w:w="7920"/>
      </w:tblGrid>
      <w:tr>
        <w:tc>
          <w:tcPr/>
          <w:bookmarkStart w:id="100" w:name="tbl-densidade"/>
          <w:p>
            <w:pPr>
              <w:jc w:val="center"/>
            </w:pPr>
            <w:pPr>
              <w:jc w:val="left"/>
              <w:spacing w:before="200"/>
              <w:pStyle w:val="ImageCaption"/>
            </w:pPr>
            <w:r>
              <w:t xml:space="preserve">Tabela 2.7: Ranking da Densidade do Tráfego Aéreo em TMA</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center"/>
                    <w:jc w:val="center"/>
                  </w:pPr>
                  <w:r>
                    <w:t xml:space="preserve">TMA</w:t>
                  </w:r>
                </w:p>
              </w:tc>
              <w:tc>
                <w:tcPr/>
                <w:p>
                  <w:pPr>
                    <w:pStyle w:val="Compact"/>
                    <w:jc w:val="center"/>
                    <w:jc w:val="center"/>
                  </w:pPr>
                  <w:r>
                    <w:t xml:space="preserve">Código ICAO</w:t>
                  </w:r>
                </w:p>
              </w:tc>
              <w:tc>
                <w:tcPr/>
                <w:p>
                  <w:pPr>
                    <w:pStyle w:val="Compact"/>
                    <w:jc w:val="center"/>
                    <w:jc w:val="center"/>
                  </w:pPr>
                  <w:r>
                    <w:t xml:space="preserve">Densidade (voos/km²)</w:t>
                  </w:r>
                </w:p>
              </w:tc>
            </w:tr>
            <w:tr>
              <w:tc>
                <w:tcPr/>
                <w:p>
                  <w:pPr>
                    <w:pStyle w:val="Compact"/>
                    <w:jc w:val="center"/>
                    <w:jc w:val="center"/>
                  </w:pPr>
                  <w:r>
                    <w:t xml:space="preserve">São Paulo</w:t>
                  </w:r>
                </w:p>
              </w:tc>
              <w:tc>
                <w:tcPr/>
                <w:p>
                  <w:pPr>
                    <w:pStyle w:val="Compact"/>
                    <w:jc w:val="center"/>
                    <w:jc w:val="center"/>
                  </w:pPr>
                  <w:r>
                    <w:t xml:space="preserve">SBXP</w:t>
                  </w:r>
                </w:p>
              </w:tc>
              <w:tc>
                <w:tcPr/>
                <w:p>
                  <w:pPr>
                    <w:pStyle w:val="Compact"/>
                    <w:jc w:val="center"/>
                    <w:jc w:val="center"/>
                  </w:pPr>
                  <w:r>
                    <w:t xml:space="preserve">20.85</w:t>
                  </w:r>
                </w:p>
              </w:tc>
            </w:tr>
            <w:tr>
              <w:tc>
                <w:tcPr/>
                <w:p>
                  <w:pPr>
                    <w:pStyle w:val="Compact"/>
                    <w:jc w:val="center"/>
                    <w:jc w:val="center"/>
                  </w:pPr>
                  <w:r>
                    <w:t xml:space="preserve">Rio de Janeiro</w:t>
                  </w:r>
                </w:p>
              </w:tc>
              <w:tc>
                <w:tcPr/>
                <w:p>
                  <w:pPr>
                    <w:pStyle w:val="Compact"/>
                    <w:jc w:val="center"/>
                    <w:jc w:val="center"/>
                  </w:pPr>
                  <w:r>
                    <w:t xml:space="preserve">SBWJ</w:t>
                  </w:r>
                </w:p>
              </w:tc>
              <w:tc>
                <w:tcPr/>
                <w:p>
                  <w:pPr>
                    <w:pStyle w:val="Compact"/>
                    <w:jc w:val="center"/>
                    <w:jc w:val="center"/>
                  </w:pPr>
                  <w:r>
                    <w:t xml:space="preserve">8.58</w:t>
                  </w:r>
                </w:p>
              </w:tc>
            </w:tr>
            <w:tr>
              <w:tc>
                <w:tcPr/>
                <w:p>
                  <w:pPr>
                    <w:pStyle w:val="Compact"/>
                    <w:jc w:val="center"/>
                    <w:jc w:val="center"/>
                  </w:pPr>
                  <w:r>
                    <w:t xml:space="preserve">Belo Horizonte</w:t>
                  </w:r>
                </w:p>
              </w:tc>
              <w:tc>
                <w:tcPr/>
                <w:p>
                  <w:pPr>
                    <w:pStyle w:val="Compact"/>
                    <w:jc w:val="center"/>
                    <w:jc w:val="center"/>
                  </w:pPr>
                  <w:r>
                    <w:t xml:space="preserve">SBWH</w:t>
                  </w:r>
                </w:p>
              </w:tc>
              <w:tc>
                <w:tcPr/>
                <w:p>
                  <w:pPr>
                    <w:pStyle w:val="Compact"/>
                    <w:jc w:val="center"/>
                    <w:jc w:val="center"/>
                  </w:pPr>
                  <w:r>
                    <w:t xml:space="preserve">7.16</w:t>
                  </w:r>
                </w:p>
              </w:tc>
            </w:tr>
            <w:tr>
              <w:tc>
                <w:tcPr/>
                <w:p>
                  <w:pPr>
                    <w:pStyle w:val="Compact"/>
                    <w:jc w:val="center"/>
                    <w:jc w:val="center"/>
                  </w:pPr>
                  <w:r>
                    <w:t xml:space="preserve">Brasília</w:t>
                  </w:r>
                </w:p>
              </w:tc>
              <w:tc>
                <w:tcPr/>
                <w:p>
                  <w:pPr>
                    <w:pStyle w:val="Compact"/>
                    <w:jc w:val="center"/>
                    <w:jc w:val="center"/>
                  </w:pPr>
                  <w:r>
                    <w:t xml:space="preserve">SBWR</w:t>
                  </w:r>
                </w:p>
              </w:tc>
              <w:tc>
                <w:tcPr/>
                <w:p>
                  <w:pPr>
                    <w:pStyle w:val="Compact"/>
                    <w:jc w:val="center"/>
                    <w:jc w:val="center"/>
                  </w:pPr>
                  <w:r>
                    <w:t xml:space="preserve">5.49</w:t>
                  </w:r>
                </w:p>
              </w:tc>
            </w:tr>
            <w:tr>
              <w:tc>
                <w:tcPr/>
                <w:p>
                  <w:pPr>
                    <w:pStyle w:val="Compact"/>
                    <w:jc w:val="center"/>
                    <w:jc w:val="center"/>
                  </w:pPr>
                  <w:r>
                    <w:t xml:space="preserve">Curitiba</w:t>
                  </w:r>
                </w:p>
              </w:tc>
              <w:tc>
                <w:tcPr/>
                <w:p>
                  <w:pPr>
                    <w:pStyle w:val="Compact"/>
                    <w:jc w:val="center"/>
                    <w:jc w:val="center"/>
                  </w:pPr>
                  <w:r>
                    <w:t xml:space="preserve">SBWT</w:t>
                  </w:r>
                </w:p>
              </w:tc>
              <w:tc>
                <w:tcPr/>
                <w:p>
                  <w:pPr>
                    <w:pStyle w:val="Compact"/>
                    <w:jc w:val="center"/>
                    <w:jc w:val="center"/>
                  </w:pPr>
                  <w:r>
                    <w:t xml:space="preserve">4.39</w:t>
                  </w:r>
                </w:p>
              </w:tc>
            </w:tr>
            <w:tr>
              <w:tc>
                <w:tcPr/>
                <w:p>
                  <w:pPr>
                    <w:pStyle w:val="Compact"/>
                    <w:jc w:val="center"/>
                    <w:jc w:val="center"/>
                  </w:pPr>
                  <w:r>
                    <w:t xml:space="preserve">Anápolis</w:t>
                  </w:r>
                </w:p>
              </w:tc>
              <w:tc>
                <w:tcPr/>
                <w:p>
                  <w:pPr>
                    <w:pStyle w:val="Compact"/>
                    <w:jc w:val="center"/>
                    <w:jc w:val="center"/>
                  </w:pPr>
                  <w:r>
                    <w:t xml:space="preserve">SBXN</w:t>
                  </w:r>
                </w:p>
              </w:tc>
              <w:tc>
                <w:tcPr/>
                <w:p>
                  <w:pPr>
                    <w:pStyle w:val="Compact"/>
                    <w:jc w:val="center"/>
                    <w:jc w:val="center"/>
                  </w:pPr>
                  <w:r>
                    <w:t xml:space="preserve">4.05</w:t>
                  </w:r>
                </w:p>
              </w:tc>
            </w:tr>
            <w:tr>
              <w:tc>
                <w:tcPr/>
                <w:p>
                  <w:pPr>
                    <w:pStyle w:val="Compact"/>
                    <w:jc w:val="center"/>
                    <w:jc w:val="center"/>
                  </w:pPr>
                  <w:r>
                    <w:t xml:space="preserve">Manaus</w:t>
                  </w:r>
                </w:p>
              </w:tc>
              <w:tc>
                <w:tcPr/>
                <w:p>
                  <w:pPr>
                    <w:pStyle w:val="Compact"/>
                    <w:jc w:val="center"/>
                    <w:jc w:val="center"/>
                  </w:pPr>
                  <w:r>
                    <w:t xml:space="preserve">SBWN</w:t>
                  </w:r>
                </w:p>
              </w:tc>
              <w:tc>
                <w:tcPr/>
                <w:p>
                  <w:pPr>
                    <w:pStyle w:val="Compact"/>
                    <w:jc w:val="center"/>
                    <w:jc w:val="center"/>
                  </w:pPr>
                  <w:r>
                    <w:t xml:space="preserve">3.80</w:t>
                  </w:r>
                </w:p>
              </w:tc>
            </w:tr>
            <w:tr>
              <w:tc>
                <w:tcPr/>
                <w:p>
                  <w:pPr>
                    <w:pStyle w:val="Compact"/>
                    <w:jc w:val="center"/>
                    <w:jc w:val="center"/>
                  </w:pPr>
                  <w:r>
                    <w:t xml:space="preserve">Recife</w:t>
                  </w:r>
                </w:p>
              </w:tc>
              <w:tc>
                <w:tcPr/>
                <w:p>
                  <w:pPr>
                    <w:pStyle w:val="Compact"/>
                    <w:jc w:val="center"/>
                    <w:jc w:val="center"/>
                  </w:pPr>
                  <w:r>
                    <w:t xml:space="preserve">SBWF</w:t>
                  </w:r>
                </w:p>
              </w:tc>
              <w:tc>
                <w:tcPr/>
                <w:p>
                  <w:pPr>
                    <w:pStyle w:val="Compact"/>
                    <w:jc w:val="center"/>
                    <w:jc w:val="center"/>
                  </w:pPr>
                  <w:r>
                    <w:t xml:space="preserve">3.56</w:t>
                  </w:r>
                </w:p>
              </w:tc>
            </w:tr>
            <w:tr>
              <w:tc>
                <w:tcPr/>
                <w:p>
                  <w:pPr>
                    <w:pStyle w:val="Compact"/>
                    <w:jc w:val="center"/>
                    <w:jc w:val="center"/>
                  </w:pPr>
                  <w:r>
                    <w:t xml:space="preserve">Cuiabá</w:t>
                  </w:r>
                </w:p>
              </w:tc>
              <w:tc>
                <w:tcPr/>
                <w:p>
                  <w:pPr>
                    <w:pStyle w:val="Compact"/>
                    <w:jc w:val="center"/>
                    <w:jc w:val="center"/>
                  </w:pPr>
                  <w:r>
                    <w:t xml:space="preserve">SBWY</w:t>
                  </w:r>
                </w:p>
              </w:tc>
              <w:tc>
                <w:tcPr/>
                <w:p>
                  <w:pPr>
                    <w:pStyle w:val="Compact"/>
                    <w:jc w:val="center"/>
                    <w:jc w:val="center"/>
                  </w:pPr>
                  <w:r>
                    <w:t xml:space="preserve">3.43</w:t>
                  </w:r>
                </w:p>
              </w:tc>
            </w:tr>
            <w:tr>
              <w:tc>
                <w:tcPr/>
                <w:p>
                  <w:pPr>
                    <w:pStyle w:val="Compact"/>
                    <w:jc w:val="center"/>
                    <w:jc w:val="center"/>
                  </w:pPr>
                  <w:r>
                    <w:t xml:space="preserve">Vitória</w:t>
                  </w:r>
                </w:p>
              </w:tc>
              <w:tc>
                <w:tcPr/>
                <w:p>
                  <w:pPr>
                    <w:pStyle w:val="Compact"/>
                    <w:jc w:val="center"/>
                    <w:jc w:val="center"/>
                  </w:pPr>
                  <w:r>
                    <w:t xml:space="preserve">SBXR</w:t>
                  </w:r>
                </w:p>
              </w:tc>
              <w:tc>
                <w:tcPr/>
                <w:p>
                  <w:pPr>
                    <w:pStyle w:val="Compact"/>
                    <w:jc w:val="center"/>
                    <w:jc w:val="center"/>
                  </w:pPr>
                  <w:r>
                    <w:t xml:space="preserve">3.41</w:t>
                  </w:r>
                </w:p>
              </w:tc>
            </w:tr>
            <w:tr>
              <w:tc>
                <w:tcPr/>
                <w:p>
                  <w:pPr>
                    <w:pStyle w:val="Compact"/>
                    <w:jc w:val="center"/>
                    <w:jc w:val="center"/>
                  </w:pPr>
                  <w:r>
                    <w:t xml:space="preserve">Belém</w:t>
                  </w:r>
                </w:p>
              </w:tc>
              <w:tc>
                <w:tcPr/>
                <w:p>
                  <w:pPr>
                    <w:pStyle w:val="Compact"/>
                    <w:jc w:val="center"/>
                    <w:jc w:val="center"/>
                  </w:pPr>
                  <w:r>
                    <w:t xml:space="preserve">SBWB</w:t>
                  </w:r>
                </w:p>
              </w:tc>
              <w:tc>
                <w:tcPr/>
                <w:p>
                  <w:pPr>
                    <w:pStyle w:val="Compact"/>
                    <w:jc w:val="center"/>
                    <w:jc w:val="center"/>
                  </w:pPr>
                  <w:r>
                    <w:t xml:space="preserve">3.17</w:t>
                  </w:r>
                </w:p>
              </w:tc>
            </w:tr>
            <w:tr>
              <w:tc>
                <w:tcPr/>
                <w:p>
                  <w:pPr>
                    <w:pStyle w:val="Compact"/>
                    <w:jc w:val="center"/>
                    <w:jc w:val="center"/>
                  </w:pPr>
                  <w:r>
                    <w:t xml:space="preserve">Florianópolis</w:t>
                  </w:r>
                </w:p>
              </w:tc>
              <w:tc>
                <w:tcPr/>
                <w:p>
                  <w:pPr>
                    <w:pStyle w:val="Compact"/>
                    <w:jc w:val="center"/>
                    <w:jc w:val="center"/>
                  </w:pPr>
                  <w:r>
                    <w:t xml:space="preserve">SBXF</w:t>
                  </w:r>
                </w:p>
              </w:tc>
              <w:tc>
                <w:tcPr/>
                <w:p>
                  <w:pPr>
                    <w:pStyle w:val="Compact"/>
                    <w:jc w:val="center"/>
                    <w:jc w:val="center"/>
                  </w:pPr>
                  <w:r>
                    <w:t xml:space="preserve">3.16</w:t>
                  </w:r>
                </w:p>
              </w:tc>
            </w:tr>
            <w:tr>
              <w:tc>
                <w:tcPr/>
                <w:p>
                  <w:pPr>
                    <w:pStyle w:val="Compact"/>
                    <w:jc w:val="center"/>
                    <w:jc w:val="center"/>
                  </w:pPr>
                  <w:r>
                    <w:t xml:space="preserve">Academia</w:t>
                  </w:r>
                </w:p>
              </w:tc>
              <w:tc>
                <w:tcPr/>
                <w:p>
                  <w:pPr>
                    <w:pStyle w:val="Compact"/>
                    <w:jc w:val="center"/>
                    <w:jc w:val="center"/>
                  </w:pPr>
                  <w:r>
                    <w:t xml:space="preserve">SBXQ</w:t>
                  </w:r>
                </w:p>
              </w:tc>
              <w:tc>
                <w:tcPr/>
                <w:p>
                  <w:pPr>
                    <w:pStyle w:val="Compact"/>
                    <w:jc w:val="center"/>
                    <w:jc w:val="center"/>
                  </w:pPr>
                  <w:r>
                    <w:t xml:space="preserve">2.71</w:t>
                  </w:r>
                </w:p>
              </w:tc>
            </w:tr>
            <w:tr>
              <w:tc>
                <w:tcPr/>
                <w:p>
                  <w:pPr>
                    <w:pStyle w:val="Compact"/>
                    <w:jc w:val="center"/>
                    <w:jc w:val="center"/>
                  </w:pPr>
                  <w:r>
                    <w:t xml:space="preserve">Salvador</w:t>
                  </w:r>
                </w:p>
              </w:tc>
              <w:tc>
                <w:tcPr/>
                <w:p>
                  <w:pPr>
                    <w:pStyle w:val="Compact"/>
                    <w:jc w:val="center"/>
                    <w:jc w:val="center"/>
                  </w:pPr>
                  <w:r>
                    <w:t xml:space="preserve">SBXS</w:t>
                  </w:r>
                </w:p>
              </w:tc>
              <w:tc>
                <w:tcPr/>
                <w:p>
                  <w:pPr>
                    <w:pStyle w:val="Compact"/>
                    <w:jc w:val="center"/>
                    <w:jc w:val="center"/>
                  </w:pPr>
                  <w:r>
                    <w:t xml:space="preserve">2.62</w:t>
                  </w:r>
                </w:p>
              </w:tc>
            </w:tr>
            <w:tr>
              <w:tc>
                <w:tcPr/>
                <w:p>
                  <w:pPr>
                    <w:pStyle w:val="Compact"/>
                    <w:jc w:val="center"/>
                    <w:jc w:val="center"/>
                  </w:pPr>
                  <w:r>
                    <w:t xml:space="preserve">Porto Alegre</w:t>
                  </w:r>
                </w:p>
              </w:tc>
              <w:tc>
                <w:tcPr/>
                <w:p>
                  <w:pPr>
                    <w:pStyle w:val="Compact"/>
                    <w:jc w:val="center"/>
                    <w:jc w:val="center"/>
                  </w:pPr>
                  <w:r>
                    <w:t xml:space="preserve">SBWP</w:t>
                  </w:r>
                </w:p>
              </w:tc>
              <w:tc>
                <w:tcPr/>
                <w:p>
                  <w:pPr>
                    <w:pStyle w:val="Compact"/>
                    <w:jc w:val="center"/>
                    <w:jc w:val="center"/>
                  </w:pPr>
                  <w:r>
                    <w:t xml:space="preserve">2.53</w:t>
                  </w:r>
                </w:p>
              </w:tc>
            </w:tr>
            <w:tr>
              <w:tc>
                <w:tcPr/>
                <w:p>
                  <w:pPr>
                    <w:pStyle w:val="Compact"/>
                    <w:jc w:val="center"/>
                    <w:jc w:val="center"/>
                  </w:pPr>
                  <w:r>
                    <w:t xml:space="preserve">Campo Grande</w:t>
                  </w:r>
                </w:p>
              </w:tc>
              <w:tc>
                <w:tcPr/>
                <w:p>
                  <w:pPr>
                    <w:pStyle w:val="Compact"/>
                    <w:jc w:val="center"/>
                    <w:jc w:val="center"/>
                  </w:pPr>
                  <w:r>
                    <w:t xml:space="preserve">SBWG</w:t>
                  </w:r>
                </w:p>
              </w:tc>
              <w:tc>
                <w:tcPr/>
                <w:p>
                  <w:pPr>
                    <w:pStyle w:val="Compact"/>
                    <w:jc w:val="center"/>
                    <w:jc w:val="center"/>
                  </w:pPr>
                  <w:r>
                    <w:t xml:space="preserve">2.41</w:t>
                  </w:r>
                </w:p>
              </w:tc>
            </w:tr>
            <w:tr>
              <w:tc>
                <w:tcPr/>
                <w:p>
                  <w:pPr>
                    <w:pStyle w:val="Compact"/>
                    <w:jc w:val="center"/>
                    <w:jc w:val="center"/>
                  </w:pPr>
                  <w:r>
                    <w:t xml:space="preserve">Foz do Iguaçu</w:t>
                  </w:r>
                </w:p>
              </w:tc>
              <w:tc>
                <w:tcPr/>
                <w:p>
                  <w:pPr>
                    <w:pStyle w:val="Compact"/>
                    <w:jc w:val="center"/>
                    <w:jc w:val="center"/>
                  </w:pPr>
                  <w:r>
                    <w:t xml:space="preserve">SBWI</w:t>
                  </w:r>
                </w:p>
              </w:tc>
              <w:tc>
                <w:tcPr/>
                <w:p>
                  <w:pPr>
                    <w:pStyle w:val="Compact"/>
                    <w:jc w:val="center"/>
                    <w:jc w:val="center"/>
                  </w:pPr>
                  <w:r>
                    <w:t xml:space="preserve">2.36</w:t>
                  </w:r>
                </w:p>
              </w:tc>
            </w:tr>
            <w:tr>
              <w:tc>
                <w:tcPr/>
                <w:p>
                  <w:pPr>
                    <w:pStyle w:val="Compact"/>
                    <w:jc w:val="center"/>
                    <w:jc w:val="center"/>
                  </w:pPr>
                  <w:r>
                    <w:t xml:space="preserve">Boa Vista</w:t>
                  </w:r>
                </w:p>
              </w:tc>
              <w:tc>
                <w:tcPr/>
                <w:p>
                  <w:pPr>
                    <w:pStyle w:val="Compact"/>
                    <w:jc w:val="center"/>
                    <w:jc w:val="center"/>
                  </w:pPr>
                  <w:r>
                    <w:t xml:space="preserve">SBWQ</w:t>
                  </w:r>
                </w:p>
              </w:tc>
              <w:tc>
                <w:tcPr/>
                <w:p>
                  <w:pPr>
                    <w:pStyle w:val="Compact"/>
                    <w:jc w:val="center"/>
                    <w:jc w:val="center"/>
                  </w:pPr>
                  <w:r>
                    <w:t xml:space="preserve">1.96</w:t>
                  </w:r>
                </w:p>
              </w:tc>
            </w:tr>
            <w:tr>
              <w:tc>
                <w:tcPr/>
                <w:p>
                  <w:pPr>
                    <w:pStyle w:val="Compact"/>
                    <w:jc w:val="center"/>
                    <w:jc w:val="center"/>
                  </w:pPr>
                  <w:r>
                    <w:t xml:space="preserve">Fortaleza</w:t>
                  </w:r>
                </w:p>
              </w:tc>
              <w:tc>
                <w:tcPr/>
                <w:p>
                  <w:pPr>
                    <w:pStyle w:val="Compact"/>
                    <w:jc w:val="center"/>
                    <w:jc w:val="center"/>
                  </w:pPr>
                  <w:r>
                    <w:t xml:space="preserve">SBWZ</w:t>
                  </w:r>
                </w:p>
              </w:tc>
              <w:tc>
                <w:tcPr/>
                <w:p>
                  <w:pPr>
                    <w:pStyle w:val="Compact"/>
                    <w:jc w:val="center"/>
                    <w:jc w:val="center"/>
                  </w:pPr>
                  <w:r>
                    <w:t xml:space="preserve">1.93</w:t>
                  </w:r>
                </w:p>
              </w:tc>
            </w:tr>
            <w:tr>
              <w:tc>
                <w:tcPr/>
                <w:p>
                  <w:pPr>
                    <w:pStyle w:val="Compact"/>
                    <w:jc w:val="center"/>
                    <w:jc w:val="center"/>
                  </w:pPr>
                  <w:r>
                    <w:t xml:space="preserve">Uberlândia</w:t>
                  </w:r>
                </w:p>
              </w:tc>
              <w:tc>
                <w:tcPr/>
                <w:p>
                  <w:pPr>
                    <w:pStyle w:val="Compact"/>
                    <w:jc w:val="center"/>
                    <w:jc w:val="center"/>
                  </w:pPr>
                  <w:r>
                    <w:t xml:space="preserve">SBXW</w:t>
                  </w:r>
                </w:p>
              </w:tc>
              <w:tc>
                <w:tcPr/>
                <w:p>
                  <w:pPr>
                    <w:pStyle w:val="Compact"/>
                    <w:jc w:val="center"/>
                    <w:jc w:val="center"/>
                  </w:pPr>
                  <w:r>
                    <w:t xml:space="preserve">1.75</w:t>
                  </w:r>
                </w:p>
              </w:tc>
            </w:tr>
            <w:tr>
              <w:tc>
                <w:tcPr/>
                <w:p>
                  <w:pPr>
                    <w:pStyle w:val="Compact"/>
                    <w:jc w:val="center"/>
                    <w:jc w:val="center"/>
                  </w:pPr>
                  <w:r>
                    <w:t xml:space="preserve">Maceió</w:t>
                  </w:r>
                </w:p>
              </w:tc>
              <w:tc>
                <w:tcPr/>
                <w:p>
                  <w:pPr>
                    <w:pStyle w:val="Compact"/>
                    <w:jc w:val="center"/>
                    <w:jc w:val="center"/>
                  </w:pPr>
                  <w:r>
                    <w:t xml:space="preserve">SBXM</w:t>
                  </w:r>
                </w:p>
              </w:tc>
              <w:tc>
                <w:tcPr/>
                <w:p>
                  <w:pPr>
                    <w:pStyle w:val="Compact"/>
                    <w:jc w:val="center"/>
                    <w:jc w:val="center"/>
                  </w:pPr>
                  <w:r>
                    <w:t xml:space="preserve">1.74</w:t>
                  </w:r>
                </w:p>
              </w:tc>
            </w:tr>
            <w:tr>
              <w:tc>
                <w:tcPr/>
                <w:p>
                  <w:pPr>
                    <w:pStyle w:val="Compact"/>
                    <w:jc w:val="center"/>
                    <w:jc w:val="center"/>
                  </w:pPr>
                  <w:r>
                    <w:t xml:space="preserve">Londrina</w:t>
                  </w:r>
                </w:p>
              </w:tc>
              <w:tc>
                <w:tcPr/>
                <w:p>
                  <w:pPr>
                    <w:pStyle w:val="Compact"/>
                    <w:jc w:val="center"/>
                    <w:jc w:val="center"/>
                  </w:pPr>
                  <w:r>
                    <w:t xml:space="preserve">SBXO</w:t>
                  </w:r>
                </w:p>
              </w:tc>
              <w:tc>
                <w:tcPr/>
                <w:p>
                  <w:pPr>
                    <w:pStyle w:val="Compact"/>
                    <w:jc w:val="center"/>
                    <w:jc w:val="center"/>
                  </w:pPr>
                  <w:r>
                    <w:t xml:space="preserve">1.65</w:t>
                  </w:r>
                </w:p>
              </w:tc>
            </w:tr>
            <w:tr>
              <w:tc>
                <w:tcPr/>
                <w:p>
                  <w:pPr>
                    <w:pStyle w:val="Compact"/>
                    <w:jc w:val="center"/>
                    <w:jc w:val="center"/>
                  </w:pPr>
                  <w:r>
                    <w:t xml:space="preserve">Macaé</w:t>
                  </w:r>
                </w:p>
              </w:tc>
              <w:tc>
                <w:tcPr/>
                <w:p>
                  <w:pPr>
                    <w:pStyle w:val="Compact"/>
                    <w:jc w:val="center"/>
                    <w:jc w:val="center"/>
                  </w:pPr>
                  <w:r>
                    <w:t xml:space="preserve">SBWE</w:t>
                  </w:r>
                </w:p>
              </w:tc>
              <w:tc>
                <w:tcPr/>
                <w:p>
                  <w:pPr>
                    <w:pStyle w:val="Compact"/>
                    <w:jc w:val="center"/>
                    <w:jc w:val="center"/>
                  </w:pPr>
                  <w:r>
                    <w:t xml:space="preserve">1.60</w:t>
                  </w:r>
                </w:p>
              </w:tc>
            </w:tr>
            <w:tr>
              <w:tc>
                <w:tcPr/>
                <w:p>
                  <w:pPr>
                    <w:pStyle w:val="Compact"/>
                    <w:jc w:val="center"/>
                    <w:jc w:val="center"/>
                  </w:pPr>
                  <w:r>
                    <w:t xml:space="preserve">Porto Seguro</w:t>
                  </w:r>
                </w:p>
              </w:tc>
              <w:tc>
                <w:tcPr/>
                <w:p>
                  <w:pPr>
                    <w:pStyle w:val="Compact"/>
                    <w:jc w:val="center"/>
                    <w:jc w:val="center"/>
                  </w:pPr>
                  <w:r>
                    <w:t xml:space="preserve">SBWK</w:t>
                  </w:r>
                </w:p>
              </w:tc>
              <w:tc>
                <w:tcPr/>
                <w:p>
                  <w:pPr>
                    <w:pStyle w:val="Compact"/>
                    <w:jc w:val="center"/>
                    <w:jc w:val="center"/>
                  </w:pPr>
                  <w:r>
                    <w:t xml:space="preserve">1.54</w:t>
                  </w:r>
                </w:p>
              </w:tc>
            </w:tr>
            <w:tr>
              <w:tc>
                <w:tcPr/>
                <w:p>
                  <w:pPr>
                    <w:pStyle w:val="Compact"/>
                    <w:jc w:val="center"/>
                    <w:jc w:val="center"/>
                  </w:pPr>
                  <w:r>
                    <w:t xml:space="preserve">Bauru</w:t>
                  </w:r>
                </w:p>
              </w:tc>
              <w:tc>
                <w:tcPr/>
                <w:p>
                  <w:pPr>
                    <w:pStyle w:val="Compact"/>
                    <w:jc w:val="center"/>
                    <w:jc w:val="center"/>
                  </w:pPr>
                  <w:r>
                    <w:t xml:space="preserve">SBWU</w:t>
                  </w:r>
                </w:p>
              </w:tc>
              <w:tc>
                <w:tcPr/>
                <w:p>
                  <w:pPr>
                    <w:pStyle w:val="Compact"/>
                    <w:jc w:val="center"/>
                    <w:jc w:val="center"/>
                  </w:pPr>
                  <w:r>
                    <w:t xml:space="preserve">1.50</w:t>
                  </w:r>
                </w:p>
              </w:tc>
            </w:tr>
            <w:tr>
              <w:tc>
                <w:tcPr/>
                <w:p>
                  <w:pPr>
                    <w:pStyle w:val="Compact"/>
                    <w:jc w:val="center"/>
                    <w:jc w:val="center"/>
                  </w:pPr>
                  <w:r>
                    <w:t xml:space="preserve">São Luís</w:t>
                  </w:r>
                </w:p>
              </w:tc>
              <w:tc>
                <w:tcPr/>
                <w:p>
                  <w:pPr>
                    <w:pStyle w:val="Compact"/>
                    <w:jc w:val="center"/>
                    <w:jc w:val="center"/>
                  </w:pPr>
                  <w:r>
                    <w:t xml:space="preserve">SBWS</w:t>
                  </w:r>
                </w:p>
              </w:tc>
              <w:tc>
                <w:tcPr/>
                <w:p>
                  <w:pPr>
                    <w:pStyle w:val="Compact"/>
                    <w:jc w:val="center"/>
                    <w:jc w:val="center"/>
                  </w:pPr>
                  <w:r>
                    <w:t xml:space="preserve">1.42</w:t>
                  </w:r>
                </w:p>
              </w:tc>
            </w:tr>
            <w:tr>
              <w:tc>
                <w:tcPr/>
                <w:p>
                  <w:pPr>
                    <w:pStyle w:val="Compact"/>
                    <w:jc w:val="center"/>
                    <w:jc w:val="center"/>
                  </w:pPr>
                  <w:r>
                    <w:t xml:space="preserve">Natal</w:t>
                  </w:r>
                </w:p>
              </w:tc>
              <w:tc>
                <w:tcPr/>
                <w:p>
                  <w:pPr>
                    <w:pStyle w:val="Compact"/>
                    <w:jc w:val="center"/>
                    <w:jc w:val="center"/>
                  </w:pPr>
                  <w:r>
                    <w:t xml:space="preserve">SBXT</w:t>
                  </w:r>
                </w:p>
              </w:tc>
              <w:tc>
                <w:tcPr/>
                <w:p>
                  <w:pPr>
                    <w:pStyle w:val="Compact"/>
                    <w:jc w:val="center"/>
                    <w:jc w:val="center"/>
                  </w:pPr>
                  <w:r>
                    <w:t xml:space="preserve">1.19</w:t>
                  </w:r>
                </w:p>
              </w:tc>
            </w:tr>
            <w:tr>
              <w:tc>
                <w:tcPr/>
                <w:p>
                  <w:pPr>
                    <w:pStyle w:val="Compact"/>
                    <w:jc w:val="center"/>
                    <w:jc w:val="center"/>
                  </w:pPr>
                  <w:r>
                    <w:t xml:space="preserve">Palmas</w:t>
                  </w:r>
                </w:p>
              </w:tc>
              <w:tc>
                <w:tcPr/>
                <w:p>
                  <w:pPr>
                    <w:pStyle w:val="Compact"/>
                    <w:jc w:val="center"/>
                    <w:jc w:val="center"/>
                  </w:pPr>
                  <w:r>
                    <w:t xml:space="preserve">SBXD</w:t>
                  </w:r>
                </w:p>
              </w:tc>
              <w:tc>
                <w:tcPr/>
                <w:p>
                  <w:pPr>
                    <w:pStyle w:val="Compact"/>
                    <w:jc w:val="center"/>
                    <w:jc w:val="center"/>
                  </w:pPr>
                  <w:r>
                    <w:t xml:space="preserve">1.15</w:t>
                  </w:r>
                </w:p>
              </w:tc>
            </w:tr>
            <w:tr>
              <w:tc>
                <w:tcPr/>
                <w:p>
                  <w:pPr>
                    <w:pStyle w:val="Compact"/>
                    <w:jc w:val="center"/>
                    <w:jc w:val="center"/>
                  </w:pPr>
                  <w:r>
                    <w:t xml:space="preserve">Uberaba</w:t>
                  </w:r>
                </w:p>
              </w:tc>
              <w:tc>
                <w:tcPr/>
                <w:p>
                  <w:pPr>
                    <w:pStyle w:val="Compact"/>
                    <w:jc w:val="center"/>
                    <w:jc w:val="center"/>
                  </w:pPr>
                  <w:r>
                    <w:t xml:space="preserve">SBXU</w:t>
                  </w:r>
                </w:p>
              </w:tc>
              <w:tc>
                <w:tcPr/>
                <w:p>
                  <w:pPr>
                    <w:pStyle w:val="Compact"/>
                    <w:jc w:val="center"/>
                    <w:jc w:val="center"/>
                  </w:pPr>
                  <w:r>
                    <w:t xml:space="preserve">1.14</w:t>
                  </w:r>
                </w:p>
              </w:tc>
            </w:tr>
            <w:tr>
              <w:tc>
                <w:tcPr/>
                <w:p>
                  <w:pPr>
                    <w:pStyle w:val="Compact"/>
                    <w:jc w:val="center"/>
                    <w:jc w:val="center"/>
                  </w:pPr>
                  <w:r>
                    <w:t xml:space="preserve">Teresina</w:t>
                  </w:r>
                </w:p>
              </w:tc>
              <w:tc>
                <w:tcPr/>
                <w:p>
                  <w:pPr>
                    <w:pStyle w:val="Compact"/>
                    <w:jc w:val="center"/>
                    <w:jc w:val="center"/>
                  </w:pPr>
                  <w:r>
                    <w:t xml:space="preserve">SBXE</w:t>
                  </w:r>
                </w:p>
              </w:tc>
              <w:tc>
                <w:tcPr/>
                <w:p>
                  <w:pPr>
                    <w:pStyle w:val="Compact"/>
                    <w:jc w:val="center"/>
                    <w:jc w:val="center"/>
                  </w:pPr>
                  <w:r>
                    <w:t xml:space="preserve">0.94</w:t>
                  </w:r>
                </w:p>
              </w:tc>
            </w:tr>
            <w:tr>
              <w:tc>
                <w:tcPr/>
                <w:p>
                  <w:pPr>
                    <w:pStyle w:val="Compact"/>
                    <w:jc w:val="center"/>
                    <w:jc w:val="center"/>
                  </w:pPr>
                  <w:r>
                    <w:t xml:space="preserve">Santarém</w:t>
                  </w:r>
                </w:p>
              </w:tc>
              <w:tc>
                <w:tcPr/>
                <w:p>
                  <w:pPr>
                    <w:pStyle w:val="Compact"/>
                    <w:jc w:val="center"/>
                    <w:jc w:val="center"/>
                  </w:pPr>
                  <w:r>
                    <w:t xml:space="preserve">SBWX</w:t>
                  </w:r>
                </w:p>
              </w:tc>
              <w:tc>
                <w:tcPr/>
                <w:p>
                  <w:pPr>
                    <w:pStyle w:val="Compact"/>
                    <w:jc w:val="center"/>
                    <w:jc w:val="center"/>
                  </w:pPr>
                  <w:r>
                    <w:t xml:space="preserve">0.85</w:t>
                  </w:r>
                </w:p>
              </w:tc>
            </w:tr>
            <w:tr>
              <w:tc>
                <w:tcPr/>
                <w:p>
                  <w:pPr>
                    <w:pStyle w:val="Compact"/>
                    <w:jc w:val="center"/>
                    <w:jc w:val="center"/>
                  </w:pPr>
                  <w:r>
                    <w:t xml:space="preserve">Aracaju</w:t>
                  </w:r>
                </w:p>
              </w:tc>
              <w:tc>
                <w:tcPr/>
                <w:p>
                  <w:pPr>
                    <w:pStyle w:val="Compact"/>
                    <w:jc w:val="center"/>
                    <w:jc w:val="center"/>
                  </w:pPr>
                  <w:r>
                    <w:t xml:space="preserve">SBXA</w:t>
                  </w:r>
                </w:p>
              </w:tc>
              <w:tc>
                <w:tcPr/>
                <w:p>
                  <w:pPr>
                    <w:pStyle w:val="Compact"/>
                    <w:jc w:val="center"/>
                    <w:jc w:val="center"/>
                  </w:pPr>
                  <w:r>
                    <w:t xml:space="preserve">0.76</w:t>
                  </w:r>
                </w:p>
              </w:tc>
            </w:tr>
            <w:tr>
              <w:tc>
                <w:tcPr/>
                <w:p>
                  <w:pPr>
                    <w:pStyle w:val="Compact"/>
                    <w:jc w:val="center"/>
                    <w:jc w:val="center"/>
                  </w:pPr>
                  <w:r>
                    <w:t xml:space="preserve">Macapá</w:t>
                  </w:r>
                </w:p>
              </w:tc>
              <w:tc>
                <w:tcPr/>
                <w:p>
                  <w:pPr>
                    <w:pStyle w:val="Compact"/>
                    <w:jc w:val="center"/>
                    <w:jc w:val="center"/>
                  </w:pPr>
                  <w:r>
                    <w:t xml:space="preserve">SBXK</w:t>
                  </w:r>
                </w:p>
              </w:tc>
              <w:tc>
                <w:tcPr/>
                <w:p>
                  <w:pPr>
                    <w:pStyle w:val="Compact"/>
                    <w:jc w:val="center"/>
                    <w:jc w:val="center"/>
                  </w:pPr>
                  <w:r>
                    <w:t xml:space="preserve">0.76</w:t>
                  </w:r>
                </w:p>
              </w:tc>
            </w:tr>
            <w:tr>
              <w:tc>
                <w:tcPr/>
                <w:p>
                  <w:pPr>
                    <w:pStyle w:val="Compact"/>
                    <w:jc w:val="center"/>
                    <w:jc w:val="center"/>
                  </w:pPr>
                  <w:r>
                    <w:t xml:space="preserve">Porto Velho</w:t>
                  </w:r>
                </w:p>
              </w:tc>
              <w:tc>
                <w:tcPr/>
                <w:p>
                  <w:pPr>
                    <w:pStyle w:val="Compact"/>
                    <w:jc w:val="center"/>
                    <w:jc w:val="center"/>
                  </w:pPr>
                  <w:r>
                    <w:t xml:space="preserve">SBWV</w:t>
                  </w:r>
                </w:p>
              </w:tc>
              <w:tc>
                <w:tcPr/>
                <w:p>
                  <w:pPr>
                    <w:pStyle w:val="Compact"/>
                    <w:jc w:val="center"/>
                    <w:jc w:val="center"/>
                  </w:pPr>
                  <w:r>
                    <w:t xml:space="preserve">0.63</w:t>
                  </w:r>
                </w:p>
              </w:tc>
            </w:tr>
            <w:tr>
              <w:tc>
                <w:tcPr/>
                <w:p>
                  <w:pPr>
                    <w:pStyle w:val="Compact"/>
                    <w:jc w:val="center"/>
                    <w:jc w:val="center"/>
                  </w:pPr>
                  <w:r>
                    <w:t xml:space="preserve">Presidente Prudente</w:t>
                  </w:r>
                </w:p>
              </w:tc>
              <w:tc>
                <w:tcPr/>
                <w:p>
                  <w:pPr>
                    <w:pStyle w:val="Compact"/>
                    <w:jc w:val="center"/>
                    <w:jc w:val="center"/>
                  </w:pPr>
                  <w:r>
                    <w:t xml:space="preserve">SBXG</w:t>
                  </w:r>
                </w:p>
              </w:tc>
              <w:tc>
                <w:tcPr/>
                <w:p>
                  <w:pPr>
                    <w:pStyle w:val="Compact"/>
                    <w:jc w:val="center"/>
                    <w:jc w:val="center"/>
                  </w:pPr>
                  <w:r>
                    <w:t xml:space="preserve">0.62</w:t>
                  </w:r>
                </w:p>
              </w:tc>
            </w:tr>
            <w:tr>
              <w:tc>
                <w:tcPr/>
                <w:p>
                  <w:pPr>
                    <w:pStyle w:val="Compact"/>
                    <w:jc w:val="center"/>
                    <w:jc w:val="center"/>
                  </w:pPr>
                  <w:r>
                    <w:t xml:space="preserve">Ilhéus</w:t>
                  </w:r>
                </w:p>
              </w:tc>
              <w:tc>
                <w:tcPr/>
                <w:p>
                  <w:pPr>
                    <w:pStyle w:val="Compact"/>
                    <w:jc w:val="center"/>
                    <w:jc w:val="center"/>
                  </w:pPr>
                  <w:r>
                    <w:t xml:space="preserve">SBWL</w:t>
                  </w:r>
                </w:p>
              </w:tc>
              <w:tc>
                <w:tcPr/>
                <w:p>
                  <w:pPr>
                    <w:pStyle w:val="Compact"/>
                    <w:jc w:val="center"/>
                    <w:jc w:val="center"/>
                  </w:pPr>
                  <w:r>
                    <w:t xml:space="preserve">0.60</w:t>
                  </w:r>
                </w:p>
              </w:tc>
            </w:tr>
            <w:tr>
              <w:tc>
                <w:tcPr/>
                <w:p>
                  <w:pPr>
                    <w:pStyle w:val="Compact"/>
                    <w:jc w:val="center"/>
                    <w:jc w:val="center"/>
                  </w:pPr>
                  <w:r>
                    <w:t xml:space="preserve">Rio Branco</w:t>
                  </w:r>
                </w:p>
              </w:tc>
              <w:tc>
                <w:tcPr/>
                <w:p>
                  <w:pPr>
                    <w:pStyle w:val="Compact"/>
                    <w:jc w:val="center"/>
                    <w:jc w:val="center"/>
                  </w:pPr>
                  <w:r>
                    <w:t xml:space="preserve">SBXB</w:t>
                  </w:r>
                </w:p>
              </w:tc>
              <w:tc>
                <w:tcPr/>
                <w:p>
                  <w:pPr>
                    <w:pStyle w:val="Compact"/>
                    <w:jc w:val="center"/>
                    <w:jc w:val="center"/>
                  </w:pPr>
                  <w:r>
                    <w:t xml:space="preserve">0.43</w:t>
                  </w:r>
                </w:p>
              </w:tc>
            </w:tr>
            <w:tr>
              <w:tc>
                <w:tcPr/>
                <w:p>
                  <w:pPr>
                    <w:pStyle w:val="Compact"/>
                    <w:jc w:val="center"/>
                    <w:jc w:val="center"/>
                  </w:pPr>
                  <w:r>
                    <w:t xml:space="preserve">Santa Maria</w:t>
                  </w:r>
                </w:p>
              </w:tc>
              <w:tc>
                <w:tcPr/>
                <w:p>
                  <w:pPr>
                    <w:pStyle w:val="Compact"/>
                    <w:jc w:val="center"/>
                    <w:jc w:val="center"/>
                  </w:pPr>
                  <w:r>
                    <w:t xml:space="preserve">SBWM</w:t>
                  </w:r>
                </w:p>
              </w:tc>
              <w:tc>
                <w:tcPr/>
                <w:p>
                  <w:pPr>
                    <w:pStyle w:val="Compact"/>
                    <w:jc w:val="center"/>
                    <w:jc w:val="center"/>
                  </w:pPr>
                  <w:r>
                    <w:t xml:space="preserve">0.38</w:t>
                  </w:r>
                </w:p>
              </w:tc>
            </w:tr>
            <w:tr>
              <w:tc>
                <w:tcPr/>
                <w:p>
                  <w:pPr>
                    <w:pStyle w:val="Compact"/>
                    <w:jc w:val="center"/>
                    <w:jc w:val="center"/>
                  </w:pPr>
                  <w:r>
                    <w:t xml:space="preserve">Marabá</w:t>
                  </w:r>
                </w:p>
              </w:tc>
              <w:tc>
                <w:tcPr/>
                <w:p>
                  <w:pPr>
                    <w:pStyle w:val="Compact"/>
                    <w:jc w:val="center"/>
                    <w:jc w:val="center"/>
                  </w:pPr>
                  <w:r>
                    <w:t xml:space="preserve">SBXJ</w:t>
                  </w:r>
                </w:p>
              </w:tc>
              <w:tc>
                <w:tcPr/>
                <w:p>
                  <w:pPr>
                    <w:pStyle w:val="Compact"/>
                    <w:jc w:val="center"/>
                    <w:jc w:val="center"/>
                  </w:pPr>
                  <w:r>
                    <w:t xml:space="preserve">0.35</w:t>
                  </w:r>
                </w:p>
              </w:tc>
            </w:tr>
          </w:tbl>
          <w:bookmarkEnd w:id="100"/>
          <w:p/>
        </w:tc>
      </w:tr>
    </w:tbl>
    <w:p>
      <w:pPr>
        <w:pStyle w:val="Corpodetexto"/>
      </w:pPr>
      <w:r>
        <w:t xml:space="preserve">Conforme apresentado na</w:t>
      </w:r>
      <w:r>
        <w:t xml:space="preserve"> </w:t>
      </w:r>
      <w:hyperlink w:anchor="tbl-densidade">
        <w:r>
          <w:rPr>
            <w:rStyle w:val="Hyperlink"/>
          </w:rPr>
          <w:t xml:space="preserve">Tabela 2.7</w:t>
        </w:r>
      </w:hyperlink>
      <w:r>
        <w:t xml:space="preserve">, a análise das Áreas Terminais (TMA) reforça essa disparidade, com a TMA São Paulo atingindo a marca de 20,85 voos/km². Este índice é aproximadamente 2,4 vezes superior ao da TMA Rio de Janeiro, que ocupa a segunda posição com 8,58 voos/km².</w:t>
      </w:r>
    </w:p>
    <w:p>
      <w:pPr>
        <w:pStyle w:val="Corpodetexto"/>
      </w:pPr>
      <w:r>
        <w:t xml:space="preserve">O grupo de maior pressão operacional é completado pelas terminais de Belo Horizonte, Brasília e Curitiba, enquanto áreas como a TMA Marabá apresentam uma densidade significativamente menor, de apenas 0,35 voos/km². Esses dados demonstram que a complexidade técnica e o esforço de controle concentram-se em pontos críticos da malha aérea brasileira, onde o uso de recursos avançados de gerenciamento de informações torna-se indispensável.</w:t>
      </w:r>
    </w:p>
    <w:bookmarkEnd w:id="101"/>
    <w:bookmarkStart w:id="110" w:name="composição-da-frota"/>
    <w:p>
      <w:pPr>
        <w:pStyle w:val="Ttulo3"/>
      </w:pPr>
      <w:r>
        <w:t xml:space="preserve">2.2.6 COMPOSIÇÃO DA FROTA</w:t>
      </w:r>
    </w:p>
    <w:p>
      <w:pPr>
        <w:pStyle w:val="FirstParagraph"/>
      </w:pPr>
      <w:r>
        <w:t xml:space="preserve">A composição da frota é responsável pela formação do</w:t>
      </w:r>
      <w:r>
        <w:t xml:space="preserve"> </w:t>
      </w:r>
      <w:r>
        <w:t xml:space="preserve">“mix de aeronaves”</w:t>
      </w:r>
      <w:r>
        <w:t xml:space="preserve">, um fator significativo na determinação da capacidade aeroportuária.</w:t>
      </w:r>
    </w:p>
    <w:p>
      <w:pPr>
        <w:pStyle w:val="Corpodetexto"/>
      </w:pPr>
      <w:r>
        <w:t xml:space="preserve">Aeródromos com uma composição heterogênea de aeronaves enfrentam desafios para o sequenciamento destas e para possibilitar a circulação no solo. Como exemplo, e com base nas categorias das aeronaves por esteira de turbulência, aeronaves das categorias pesada (H) e super (J) exigem maiores separações na aproximação final, para evitar possíveis perigos provenientes das turbulências geradas.</w:t>
      </w:r>
    </w:p>
    <w:p>
      <w:pPr>
        <w:pStyle w:val="Corpodetexto"/>
      </w:pPr>
      <w:r>
        <w:t xml:space="preserve">Os critérios de categorização das aeronaves para fins de separação devido à esteira de turbulência, encontrados na ICA 100-37 (Serviços de Tráfego Aéreo), encontram-se resumidos na</w:t>
      </w:r>
      <w:r>
        <w:t xml:space="preserve"> </w:t>
      </w:r>
      <w:hyperlink w:anchor="fig-classificacao-aeronaves">
        <w:r>
          <w:rPr>
            <w:rStyle w:val="Hyperlink"/>
          </w:rPr>
          <w:t xml:space="preserve">Figura 2.10</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105" w:name="fig-classificacao-aeronaves"/>
          <w:p>
            <w:pPr>
              <w:pStyle w:val="Compact"/>
              <w:jc w:val="center"/>
            </w:pPr>
            <w:r>
              <w:drawing>
                <wp:inline>
                  <wp:extent cx="6642100" cy="4428066"/>
                  <wp:effectExtent b="0" l="0" r="0" t="0"/>
                  <wp:docPr descr="" title="" id="103" name="Picture"/>
                  <a:graphic>
                    <a:graphicData uri="http://schemas.openxmlformats.org/drawingml/2006/picture">
                      <pic:pic>
                        <pic:nvPicPr>
                          <pic:cNvPr descr="imagens/31_FIGURA%2012%20-%20Categoria_aeronaves.png" id="104" name="Picture"/>
                          <pic:cNvPicPr>
                            <a:picLocks noChangeArrowheads="1" noChangeAspect="1"/>
                          </pic:cNvPicPr>
                        </pic:nvPicPr>
                        <pic:blipFill>
                          <a:blip r:embed="rId102"/>
                          <a:stretch>
                            <a:fillRect/>
                          </a:stretch>
                        </pic:blipFill>
                        <pic:spPr bwMode="auto">
                          <a:xfrm>
                            <a:off x="0" y="0"/>
                            <a:ext cx="6642100" cy="4428066"/>
                          </a:xfrm>
                          <a:prstGeom prst="rect">
                            <a:avLst/>
                          </a:prstGeom>
                          <a:noFill/>
                          <a:ln w="9525">
                            <a:noFill/>
                            <a:headEnd/>
                            <a:tailEnd/>
                          </a:ln>
                        </pic:spPr>
                      </pic:pic>
                    </a:graphicData>
                  </a:graphic>
                </wp:inline>
              </w:drawing>
            </w:r>
          </w:p>
          <w:p>
            <w:pPr>
              <w:jc w:val="center"/>
            </w:pPr>
            <w:pPr>
              <w:jc w:val="left"/>
              <w:spacing w:before="200"/>
              <w:pStyle w:val="ImageCaption"/>
            </w:pPr>
            <w:r>
              <w:t xml:space="preserve">Figura 2.10: Categoria das aeronaves quanto à esteira de turbulência</w:t>
            </w:r>
          </w:p>
          <w:bookmarkEnd w:id="105"/>
        </w:tc>
      </w:tr>
    </w:tbl>
    <w:p>
      <w:pPr>
        <w:pStyle w:val="Corpodetexto"/>
      </w:pPr>
      <w:r>
        <w:t xml:space="preserve">A análise da</w:t>
      </w:r>
      <w:r>
        <w:t xml:space="preserve"> </w:t>
      </w:r>
      <w:hyperlink w:anchor="fig-frotas">
        <w:r>
          <w:rPr>
            <w:rStyle w:val="Hyperlink"/>
          </w:rPr>
          <w:t xml:space="preserve">Figura 2.11</w:t>
        </w:r>
      </w:hyperlink>
      <w:r>
        <w:t xml:space="preserve"> </w:t>
      </w:r>
      <w:r>
        <w:t xml:space="preserve">detalha a composição da frota em 2025, evidenciando a predominância de aeronaves de médio porte na infraestrutura aeroportuária nacional. Esse perfil reflete a padronização das frotas comerciais e executivas, resultando em uma concentração superior a 75% para a categoria Média (M) na maioria das localidades. Aeródromos de alta densidade, como Congonhas (SBSP), Brasília (SBBR) e Santos Dumont (SBRJ), operam quase integralmente com este perfil, registrando participações de 94,1%, 84,3% e 87,4%, respectivamente.</w:t>
      </w:r>
    </w:p>
    <w:p>
      <w:pPr>
        <w:pStyle w:val="Corpodetexto"/>
      </w:pPr>
      <w:r>
        <w:t xml:space="preserve">A presença de aeronaves da categoria Leve (L) é acentuada em aeroportos voltados à instrução e aviação regional, destacando-se Marte (SBMT), com 96,8%, e Jacarepaguá (SBJR), com 88,3%. Já a categoria Pesada (H), associada a voos de longo curso, encontra sua maior expressão em</w:t>
      </w:r>
      <w:r>
        <w:t xml:space="preserve"> </w:t>
      </w:r>
      <w:r>
        <w:rPr>
          <w:i/>
          <w:iCs/>
        </w:rPr>
        <w:t xml:space="preserve">hubs</w:t>
      </w:r>
      <w:r>
        <w:t xml:space="preserve"> </w:t>
      </w:r>
      <w:r>
        <w:t xml:space="preserve">globais como Guarulhos (SBGR), com 8,4%, seguido pelo Galeão (SBGL) com 5,0% e Viracopos (SBKP) com 4,9%.</w:t>
      </w:r>
    </w:p>
    <w:tbl>
      <w:tblPr>
        <w:tblStyle w:val="Table"/>
        <w:tblW w:type="pct" w:w="5000"/>
        <w:tblLayout w:type="fixed"/>
        <w:tblLook w:firstRow="0" w:lastRow="0" w:firstColumn="0" w:lastColumn="0" w:noHBand="0" w:noVBand="0" w:val="0000"/>
      </w:tblPr>
      <w:tblGrid>
        <w:gridCol w:w="7920"/>
      </w:tblGrid>
      <w:tr>
        <w:tc>
          <w:tcPr/>
          <w:bookmarkStart w:id="109" w:name="fig-frotas"/>
          <w:p>
            <w:pPr>
              <w:pStyle w:val="Compact"/>
              <w:jc w:val="center"/>
            </w:pPr>
            <w:r>
              <w:drawing>
                <wp:inline>
                  <wp:extent cx="6642100" cy="5535083"/>
                  <wp:effectExtent b="0" l="0" r="0" t="0"/>
                  <wp:docPr descr="" title="" id="107" name="Picture"/>
                  <a:graphic>
                    <a:graphicData uri="http://schemas.openxmlformats.org/drawingml/2006/picture">
                      <pic:pic>
                        <pic:nvPicPr>
                          <pic:cNvPr descr="02-CaracteristicadoSisceab_files/figure-docx/fig-frotas-1.png" id="108" name="Picture"/>
                          <pic:cNvPicPr>
                            <a:picLocks noChangeArrowheads="1" noChangeAspect="1"/>
                          </pic:cNvPicPr>
                        </pic:nvPicPr>
                        <pic:blipFill>
                          <a:blip r:embed="rId106"/>
                          <a:stretch>
                            <a:fillRect/>
                          </a:stretch>
                        </pic:blipFill>
                        <pic:spPr bwMode="auto">
                          <a:xfrm>
                            <a:off x="0" y="0"/>
                            <a:ext cx="6642100" cy="5535083"/>
                          </a:xfrm>
                          <a:prstGeom prst="rect">
                            <a:avLst/>
                          </a:prstGeom>
                          <a:noFill/>
                          <a:ln w="9525">
                            <a:noFill/>
                            <a:headEnd/>
                            <a:tailEnd/>
                          </a:ln>
                        </pic:spPr>
                      </pic:pic>
                    </a:graphicData>
                  </a:graphic>
                </wp:inline>
              </w:drawing>
            </w:r>
          </w:p>
          <w:p>
            <w:pPr>
              <w:jc w:val="center"/>
            </w:pPr>
            <w:pPr>
              <w:jc w:val="left"/>
              <w:spacing w:before="200"/>
              <w:pStyle w:val="ImageCaption"/>
            </w:pPr>
            <w:r>
              <w:t xml:space="preserve">Figura 2.11: Composição das frotas dos principais aeródromos brasileiros</w:t>
            </w:r>
          </w:p>
          <w:bookmarkEnd w:id="109"/>
        </w:tc>
      </w:tr>
    </w:tbl>
    <w:bookmarkEnd w:id="110"/>
    <w:bookmarkEnd w:id="111"/>
    <w:bookmarkStart w:id="140" w:name="previsão-da-demanda"/>
    <w:p>
      <w:pPr>
        <w:pStyle w:val="Ttulo2"/>
      </w:pPr>
      <w:r>
        <w:t xml:space="preserve">2.3 PREVISÃO DA DEMANDA</w:t>
      </w:r>
    </w:p>
    <w:p>
      <w:pPr>
        <w:pStyle w:val="FirstParagraph"/>
      </w:pPr>
      <w:r>
        <w:t xml:space="preserve">Cabe destacar que a previsão de demanda está sujeita a variações decorrentes de múltiplos fatores externos, entre os quais se sobressai a performance da economia nacional, variável continuamente considerada pelo CGNA em seus modelos de projeção.</w:t>
      </w:r>
    </w:p>
    <w:p>
      <w:pPr>
        <w:pStyle w:val="Corpodetexto"/>
      </w:pPr>
      <w:r>
        <w:t xml:space="preserve">No último Relatório de Performance, a previsão quinquenal para o Total Brasil (total de voos) em 2025 foi estruturada a partir de três cenários prospectivos. No cenário pessimista, estimava-se a realização de 1.952.555 Movimentos, correspondendo a uma variação de 0,9%; no cenário realista, projetavam-se 2.001.383 movimentos (+3,4%); e, no cenário otimista, o volume previsto era de 2.049.312 Movimentos, representando um crescimento de 5,9%.</w:t>
      </w:r>
    </w:p>
    <w:p>
      <w:pPr>
        <w:pStyle w:val="Corpodetexto"/>
      </w:pPr>
      <w:r>
        <w:t xml:space="preserve">Considerando que, ao final de 2025, foram efetivamente registrados 2.109.588 movimentos, observa-se que o comportamento da demanda superou o cenário otimista em 2,9%.</w:t>
      </w:r>
    </w:p>
    <w:p>
      <w:pPr>
        <w:pStyle w:val="Corpodetexto"/>
      </w:pPr>
      <w:r>
        <w:t xml:space="preserve">Para 2026, a previsão novamente considera 3 possíveis cenários (Pessimista/Realista/Otimista) com os respectivos percentuais de aumento referentes a demanda do ano de 2025; 1,1% para pessimista, 3,6% para realista e 6,1% para a otimista.</w:t>
      </w:r>
    </w:p>
    <w:tbl>
      <w:tblPr>
        <w:tblStyle w:val="Table"/>
        <w:tblW w:type="pct" w:w="5000"/>
        <w:tblLayout w:type="fixed"/>
        <w:tblLook w:firstRow="0" w:lastRow="0" w:firstColumn="0" w:lastColumn="0" w:noHBand="0" w:noVBand="0" w:val="0000"/>
      </w:tblPr>
      <w:tblGrid>
        <w:gridCol w:w="7920"/>
      </w:tblGrid>
      <w:tr>
        <w:tc>
          <w:tcPr/>
          <w:bookmarkStart w:id="115" w:name="fig-prev-quinquenal-br"/>
          <w:p>
            <w:pPr>
              <w:pStyle w:val="Compact"/>
              <w:jc w:val="center"/>
            </w:pPr>
            <w:r>
              <w:drawing>
                <wp:inline>
                  <wp:extent cx="6642100" cy="2878243"/>
                  <wp:effectExtent b="0" l="0" r="0" t="0"/>
                  <wp:docPr descr="" title="" id="113" name="Picture"/>
                  <a:graphic>
                    <a:graphicData uri="http://schemas.openxmlformats.org/drawingml/2006/picture">
                      <pic:pic>
                        <pic:nvPicPr>
                          <pic:cNvPr descr="02-CaracteristicadoSisceab_files/figure-docx/fig-prev-quinquenal-br-1.png" id="114" name="Picture"/>
                          <pic:cNvPicPr>
                            <a:picLocks noChangeArrowheads="1" noChangeAspect="1"/>
                          </pic:cNvPicPr>
                        </pic:nvPicPr>
                        <pic:blipFill>
                          <a:blip r:embed="rId112"/>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2.12: Previsão quinquenal para os movimentos totais (voos) do Brasil</w:t>
            </w:r>
          </w:p>
          <w:bookmarkEnd w:id="115"/>
        </w:tc>
      </w:tr>
    </w:tbl>
    <w:p>
      <w:pPr>
        <w:pStyle w:val="Corpodetexto"/>
      </w:pPr>
      <w:r>
        <w:t xml:space="preserve">De acordo com a</w:t>
      </w:r>
      <w:r>
        <w:t xml:space="preserve"> </w:t>
      </w:r>
      <w:hyperlink w:anchor="fig-prev-quinquenal-crcea">
        <w:r>
          <w:rPr>
            <w:rStyle w:val="Hyperlink"/>
          </w:rPr>
          <w:t xml:space="preserve">Figura 2.13</w:t>
        </w:r>
      </w:hyperlink>
      <w:r>
        <w:t xml:space="preserve">, o CRCEA-SE registrou, em relação ao ano de 2024, um crescimento de 6,8%, valor consideravelmente superior à previsão do cenário otimista, estimada em 4,4%. Esse resultado teve contribuição significativa do aumento do movimento na TMA-RJ.</w:t>
      </w:r>
    </w:p>
    <w:tbl>
      <w:tblPr>
        <w:tblStyle w:val="Table"/>
        <w:tblW w:type="pct" w:w="5000"/>
        <w:tblLayout w:type="fixed"/>
        <w:tblLook w:firstRow="0" w:lastRow="0" w:firstColumn="0" w:lastColumn="0" w:noHBand="0" w:noVBand="0" w:val="0000"/>
      </w:tblPr>
      <w:tblGrid>
        <w:gridCol w:w="7920"/>
      </w:tblGrid>
      <w:tr>
        <w:tc>
          <w:tcPr/>
          <w:bookmarkStart w:id="119" w:name="fig-prev-quinquenal-crcea"/>
          <w:p>
            <w:pPr>
              <w:pStyle w:val="Compact"/>
              <w:jc w:val="center"/>
            </w:pPr>
            <w:r>
              <w:drawing>
                <wp:inline>
                  <wp:extent cx="6642100" cy="2878243"/>
                  <wp:effectExtent b="0" l="0" r="0" t="0"/>
                  <wp:docPr descr="" title="" id="117" name="Picture"/>
                  <a:graphic>
                    <a:graphicData uri="http://schemas.openxmlformats.org/drawingml/2006/picture">
                      <pic:pic>
                        <pic:nvPicPr>
                          <pic:cNvPr descr="02-CaracteristicadoSisceab_files/figure-docx/fig-prev-quinquenal-crcea-1.png" id="118" name="Picture"/>
                          <pic:cNvPicPr>
                            <a:picLocks noChangeArrowheads="1" noChangeAspect="1"/>
                          </pic:cNvPicPr>
                        </pic:nvPicPr>
                        <pic:blipFill>
                          <a:blip r:embed="rId116"/>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2.13: Previsão quinquenal para o CRCEA-SE</w:t>
            </w:r>
          </w:p>
          <w:bookmarkEnd w:id="119"/>
        </w:tc>
      </w:tr>
    </w:tbl>
    <w:p>
      <w:pPr>
        <w:pStyle w:val="Corpodetexto"/>
      </w:pPr>
      <w:r>
        <w:t xml:space="preserve">De acordo com os dados consolidados, a FIR Brasília apresentou, em 2025, um crescimento de 9,1% em relação ao movimento registrado em 2024, desempenho superior à previsão do cenário otimista, estimada em 4,4%. Em função desse resultado, a previsão de crescimento para a FIR-BS em 2026 foi estabelecida em 6,7%, considerando o cenário otimista.</w:t>
      </w:r>
    </w:p>
    <w:tbl>
      <w:tblPr>
        <w:tblStyle w:val="Table"/>
        <w:tblW w:type="pct" w:w="5000"/>
        <w:tblLayout w:type="fixed"/>
        <w:tblLook w:firstRow="0" w:lastRow="0" w:firstColumn="0" w:lastColumn="0" w:noHBand="0" w:noVBand="0" w:val="0000"/>
      </w:tblPr>
      <w:tblGrid>
        <w:gridCol w:w="7920"/>
      </w:tblGrid>
      <w:tr>
        <w:tc>
          <w:tcPr/>
          <w:bookmarkStart w:id="123" w:name="fig-prev-quinquenal-bs"/>
          <w:p>
            <w:pPr>
              <w:pStyle w:val="Compact"/>
              <w:jc w:val="center"/>
            </w:pPr>
            <w:r>
              <w:drawing>
                <wp:inline>
                  <wp:extent cx="6642100" cy="2878243"/>
                  <wp:effectExtent b="0" l="0" r="0" t="0"/>
                  <wp:docPr descr="" title="" id="121" name="Picture"/>
                  <a:graphic>
                    <a:graphicData uri="http://schemas.openxmlformats.org/drawingml/2006/picture">
                      <pic:pic>
                        <pic:nvPicPr>
                          <pic:cNvPr descr="02-CaracteristicadoSisceab_files/figure-docx/fig-prev-quinquenal-bs-1.png" id="122" name="Picture"/>
                          <pic:cNvPicPr>
                            <a:picLocks noChangeArrowheads="1" noChangeAspect="1"/>
                          </pic:cNvPicPr>
                        </pic:nvPicPr>
                        <pic:blipFill>
                          <a:blip r:embed="rId120"/>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2.14: Previsão quinquenal para a FIR-BS</w:t>
            </w:r>
          </w:p>
          <w:bookmarkEnd w:id="123"/>
        </w:tc>
      </w:tr>
    </w:tbl>
    <w:p>
      <w:pPr>
        <w:pStyle w:val="Corpodetexto"/>
      </w:pPr>
      <w:r>
        <w:t xml:space="preserve">No período analisado, a FIR Curitiba registrou, em 2025, um crescimento de 15% em relação ao movimento observado em 2024, desempenho superior ao cenário realista, que previa um aumento de 13,4%. Embora o resultado, em termos absolutos, tenha sido modesto em relação à previsão, trata-se da maior variação percentual do movimento total entre as regionais. Em decorrência da correção nos processos de coleta de dados em 2025, a previsão otimista para 2026 foi reajustada para 8,5%.</w:t>
      </w:r>
    </w:p>
    <w:tbl>
      <w:tblPr>
        <w:tblStyle w:val="Table"/>
        <w:tblW w:type="pct" w:w="5000"/>
        <w:tblLayout w:type="fixed"/>
        <w:tblLook w:firstRow="0" w:lastRow="0" w:firstColumn="0" w:lastColumn="0" w:noHBand="0" w:noVBand="0" w:val="0000"/>
      </w:tblPr>
      <w:tblGrid>
        <w:gridCol w:w="7920"/>
      </w:tblGrid>
      <w:tr>
        <w:tc>
          <w:tcPr/>
          <w:bookmarkStart w:id="127" w:name="fig-prev-quinquenal-cw"/>
          <w:p>
            <w:pPr>
              <w:pStyle w:val="Compact"/>
              <w:jc w:val="center"/>
            </w:pPr>
            <w:r>
              <w:drawing>
                <wp:inline>
                  <wp:extent cx="6642100" cy="2878243"/>
                  <wp:effectExtent b="0" l="0" r="0" t="0"/>
                  <wp:docPr descr="" title="" id="125" name="Picture"/>
                  <a:graphic>
                    <a:graphicData uri="http://schemas.openxmlformats.org/drawingml/2006/picture">
                      <pic:pic>
                        <pic:nvPicPr>
                          <pic:cNvPr descr="02-CaracteristicadoSisceab_files/figure-docx/fig-prev-quinquenal-cw-1.png" id="126" name="Picture"/>
                          <pic:cNvPicPr>
                            <a:picLocks noChangeArrowheads="1" noChangeAspect="1"/>
                          </pic:cNvPicPr>
                        </pic:nvPicPr>
                        <pic:blipFill>
                          <a:blip r:embed="rId124"/>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2.15: Previsão quinquenal para a FIR-CW</w:t>
            </w:r>
          </w:p>
          <w:bookmarkEnd w:id="127"/>
        </w:tc>
      </w:tr>
    </w:tbl>
    <w:p>
      <w:pPr>
        <w:pStyle w:val="Corpodetexto"/>
      </w:pPr>
      <w:r>
        <w:t xml:space="preserve">No contexto da análise regional, a FIR Recife registrou, em 2025, uma variação positiva de 3,5% no volume de movimentos em relação ao ano anterior. Assim como observado na FIR Curitiba, a FIR-RE foi impactada, no período precedente, pela reformulação dos processos de coleta de dados de movimento. Em função desse fator, o crescimento registrado mostrou-se ligeiramente inferior à previsão, o que motivou o reajuste das projeções de crescimento, de modo a refletir de forma mais adequada o cenário operacional vigente, conforme indicado na</w:t>
      </w:r>
      <w:r>
        <w:t xml:space="preserve"> </w:t>
      </w:r>
      <w:hyperlink w:anchor="fig-prev-quinquenal-re">
        <w:r>
          <w:rPr>
            <w:rStyle w:val="Hyperlink"/>
          </w:rPr>
          <w:t xml:space="preserve">Figura 2.16</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131" w:name="fig-prev-quinquenal-re"/>
          <w:p>
            <w:pPr>
              <w:pStyle w:val="Compact"/>
              <w:jc w:val="center"/>
            </w:pPr>
            <w:r>
              <w:drawing>
                <wp:inline>
                  <wp:extent cx="6642100" cy="2878243"/>
                  <wp:effectExtent b="0" l="0" r="0" t="0"/>
                  <wp:docPr descr="" title="" id="129" name="Picture"/>
                  <a:graphic>
                    <a:graphicData uri="http://schemas.openxmlformats.org/drawingml/2006/picture">
                      <pic:pic>
                        <pic:nvPicPr>
                          <pic:cNvPr descr="02-CaracteristicadoSisceab_files/figure-docx/fig-prev-quinquenal-re-1.png" id="130" name="Picture"/>
                          <pic:cNvPicPr>
                            <a:picLocks noChangeArrowheads="1" noChangeAspect="1"/>
                          </pic:cNvPicPr>
                        </pic:nvPicPr>
                        <pic:blipFill>
                          <a:blip r:embed="rId128"/>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2.16: Previsão quinquenal para a FIR-RE</w:t>
            </w:r>
          </w:p>
          <w:bookmarkEnd w:id="131"/>
        </w:tc>
      </w:tr>
    </w:tbl>
    <w:p>
      <w:pPr>
        <w:pStyle w:val="Corpodetexto"/>
      </w:pPr>
      <w:r>
        <w:t xml:space="preserve">A FIR Amazônica registrou crescimento de 6,3% no movimento em 2025, conforme a previsão atualizada, em comparação aos 9,5% anteriormente projetados para o cenário realista, representando uma redução de 3,2 pontos percentuais. Essa diferença evidencia uma revisão para baixo nas expectativas de desempenho, refletida em projeções mais moderadas para 2026, que indicam crescimento de 1,2% no cenário pessimista, 3,7% no cenário realista e 6,2% no cenário otimista, conforme a</w:t>
      </w:r>
      <w:r>
        <w:t xml:space="preserve"> </w:t>
      </w:r>
      <w:hyperlink w:anchor="fig-prev-quinquenal-az">
        <w:r>
          <w:rPr>
            <w:rStyle w:val="Hyperlink"/>
          </w:rPr>
          <w:t xml:space="preserve">Figura 2.17</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135" w:name="fig-prev-quinquenal-az"/>
          <w:p>
            <w:pPr>
              <w:pStyle w:val="Compact"/>
              <w:jc w:val="center"/>
            </w:pPr>
            <w:r>
              <w:drawing>
                <wp:inline>
                  <wp:extent cx="6642100" cy="2878243"/>
                  <wp:effectExtent b="0" l="0" r="0" t="0"/>
                  <wp:docPr descr="" title="" id="133" name="Picture"/>
                  <a:graphic>
                    <a:graphicData uri="http://schemas.openxmlformats.org/drawingml/2006/picture">
                      <pic:pic>
                        <pic:nvPicPr>
                          <pic:cNvPr descr="02-CaracteristicadoSisceab_files/figure-docx/fig-prev-quinquenal-az-1.png" id="134" name="Picture"/>
                          <pic:cNvPicPr>
                            <a:picLocks noChangeArrowheads="1" noChangeAspect="1"/>
                          </pic:cNvPicPr>
                        </pic:nvPicPr>
                        <pic:blipFill>
                          <a:blip r:embed="rId132"/>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2.17: Previsão quinquenal para a FIR-AZ</w:t>
            </w:r>
          </w:p>
          <w:bookmarkEnd w:id="135"/>
        </w:tc>
      </w:tr>
    </w:tbl>
    <w:p>
      <w:pPr>
        <w:pStyle w:val="Corpodetexto"/>
      </w:pPr>
      <w:r>
        <w:t xml:space="preserve">No ano de 2025, a FIR Atlântico registrou um volume de operações 7,8% superior ao ano anterior, situando-se próximo ao patamar de 8,1% previsto no cenário otimista da projeção realizada em 2024. Para o ciclo de 2026, a FIR-AO apresenta uma previsão de crescimento de 2,8% para o cenário pessimista, 5,3% para o cenário realista e 7,8% para o cenário otimista, de acordo com</w:t>
      </w:r>
      <w:r>
        <w:t xml:space="preserve"> </w:t>
      </w:r>
      <w:hyperlink w:anchor="fig-prev-quinquenal-ao">
        <w:r>
          <w:rPr>
            <w:rStyle w:val="Hyperlink"/>
          </w:rPr>
          <w:t xml:space="preserve">Figura 2.18</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139" w:name="fig-prev-quinquenal-ao"/>
          <w:p>
            <w:pPr>
              <w:pStyle w:val="Compact"/>
              <w:jc w:val="center"/>
            </w:pPr>
            <w:r>
              <w:drawing>
                <wp:inline>
                  <wp:extent cx="6642100" cy="2878243"/>
                  <wp:effectExtent b="0" l="0" r="0" t="0"/>
                  <wp:docPr descr="" title="" id="137" name="Picture"/>
                  <a:graphic>
                    <a:graphicData uri="http://schemas.openxmlformats.org/drawingml/2006/picture">
                      <pic:pic>
                        <pic:nvPicPr>
                          <pic:cNvPr descr="02-CaracteristicadoSisceab_files/figure-docx/fig-prev-quinquenal-ao-1.png" id="138" name="Picture"/>
                          <pic:cNvPicPr>
                            <a:picLocks noChangeArrowheads="1" noChangeAspect="1"/>
                          </pic:cNvPicPr>
                        </pic:nvPicPr>
                        <pic:blipFill>
                          <a:blip r:embed="rId136"/>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2.18: Previsão quinquenal para a FIR-AO</w:t>
            </w:r>
          </w:p>
          <w:bookmarkEnd w:id="139"/>
        </w:tc>
      </w:tr>
    </w:tbl>
    <w:p>
      <w:pPr>
        <w:pStyle w:val="Corpodetexto"/>
      </w:pPr>
      <w:r>
        <w:t xml:space="preserve">Embora o efeito da atualização do sistema tenha sido claramente observado no CINDACTA II e na FIR-CW, ele não se manifestou de forma tão significativa nas demais FIR. Ainda assim, estima-se que a atualização do SAGITARIO tenha contribuído para um aumento de 2% a 5% nos volumes de tráfego das FIR-BS, FIR-AZ, FIR-RE e FIR-AO.</w:t>
      </w:r>
    </w:p>
    <w:bookmarkEnd w:id="140"/>
    <w:bookmarkStart w:id="163" w:name="atco"/>
    <w:p>
      <w:pPr>
        <w:pStyle w:val="Ttulo2"/>
      </w:pPr>
      <w:r>
        <w:t xml:space="preserve">2.4 ATCO</w:t>
      </w:r>
    </w:p>
    <w:p>
      <w:pPr>
        <w:pStyle w:val="FirstParagraph"/>
      </w:pPr>
      <w:r>
        <w:t xml:space="preserve">O desempenho do sistema ATM é impactado por diversos elementos, entre os quais a gestão de recursos humanos assume papel central. Nesse contexto, os Controladores de Tráfego Aéreo (ATCO) exercem função estratégica na manutenção da segurança operacional e na fluidez do tráfego, atuando tanto no ambiente aeroportuário quanto nas diferentes porções do espaço aéreo sob sua responsabilidade.</w:t>
      </w:r>
    </w:p>
    <w:p>
      <w:pPr>
        <w:pStyle w:val="Corpodetexto"/>
      </w:pPr>
      <w:r>
        <w:t xml:space="preserve">Para que o serviço de controle de tráfego aéreo alcance níveis elevados de eficiência e eficácia, faz-se necessário um dimensionamento adequado do efetivo, compatível com a demanda operacional, aliado a processos contínuos de capacitação e atualização profissional. Assim, a gestão do efetivo de ATCO configura-se como um dos pilares para a alta performance do sistema.</w:t>
      </w:r>
    </w:p>
    <w:p>
      <w:pPr>
        <w:pStyle w:val="Corpodetexto"/>
      </w:pPr>
      <w:r>
        <w:t xml:space="preserve">No cenário nacional, os ATCO estão distribuídos entre distintas organizações prestadoras de serviços de navegação aérea, destacando-se, além das Organizações Regionais do DECEA, a NAV Brasil, empresa pública federal vinculada ao Ministério da Defesa.</w:t>
      </w:r>
    </w:p>
    <w:bookmarkStart w:id="157" w:name="evolução-de-atco"/>
    <w:p>
      <w:pPr>
        <w:pStyle w:val="Ttulo3"/>
      </w:pPr>
      <w:r>
        <w:t xml:space="preserve">2.4.1 EVOLUÇÃO DE ATCO</w:t>
      </w:r>
    </w:p>
    <w:p>
      <w:pPr>
        <w:pStyle w:val="FirstParagraph"/>
      </w:pPr>
      <w:r>
        <w:t xml:space="preserve">A evolução do efetivo de controladores de tráfego aéreo (ATCO) no COMAER reflete o esforço para adequar a capacidade humana ao volume crescente de operações no espaço aéreo brasileiro. Em 2025, o número de profissionais atingiu a marca de 4.658, consolidando uma trajetória de expansão iniciada em 2019, quando o quadro contava com 3.867 controladores.</w:t>
      </w:r>
    </w:p>
    <w:p>
      <w:pPr>
        <w:pStyle w:val="Corpodetexto"/>
      </w:pPr>
      <w:r>
        <w:t xml:space="preserve">Embora o incremento entre 2024 e 2025 tenha sido de 0,50% — um ajuste mais moderado em comparação aos saltos de 5,29% em 2024 e 4,92% em 2022 — a perspectiva histórica revela uma tendência consistente de fortalecimento do pessoal técnico. Esse dimensionamento de pessoal é um fator crítico para absorver a complexidade do tráfego e garantir a segurança operacional, especialmente nas regiões de maior densidade de fluxo.</w:t>
      </w:r>
    </w:p>
    <w:p>
      <w:pPr>
        <w:pStyle w:val="Corpodetexto"/>
      </w:pPr>
      <w:r>
        <w:t xml:space="preserve">A</w:t>
      </w:r>
      <w:r>
        <w:t xml:space="preserve"> </w:t>
      </w:r>
      <w:hyperlink w:anchor="fig-evolucao-efetivo">
        <w:r>
          <w:rPr>
            <w:rStyle w:val="Hyperlink"/>
          </w:rPr>
          <w:t xml:space="preserve">Figura 2.19</w:t>
        </w:r>
      </w:hyperlink>
      <w:r>
        <w:t xml:space="preserve"> </w:t>
      </w:r>
      <w:r>
        <w:t xml:space="preserve">apresenta a força de trabalho de controladores de tráfego aérea no SISCEAB, que atingiu em 2025 o seu patamar mais robusto da série histórica, totalizando 5.406 profissionais em atividade no sistema. Este montante é o resultado da soma do efetivo lotado no COMAER (4.658) com os profissionais atuantes em organizações externas, sendo 589 vinculados à NAV Brasil e 159 alocados em outras instituições.</w:t>
      </w:r>
    </w:p>
    <w:tbl>
      <w:tblPr>
        <w:tblStyle w:val="Table"/>
        <w:tblW w:type="pct" w:w="5000"/>
        <w:tblLayout w:type="fixed"/>
        <w:tblLook w:firstRow="0" w:lastRow="0" w:firstColumn="0" w:lastColumn="0" w:noHBand="0" w:noVBand="0" w:val="0000"/>
      </w:tblPr>
      <w:tblGrid>
        <w:gridCol w:w="7920"/>
      </w:tblGrid>
      <w:tr>
        <w:tc>
          <w:tcPr/>
          <w:bookmarkStart w:id="144" w:name="fig-evolucao-efetivo"/>
          <w:p>
            <w:pPr>
              <w:pStyle w:val="Compact"/>
              <w:jc w:val="center"/>
            </w:pPr>
            <w:r>
              <w:drawing>
                <wp:inline>
                  <wp:extent cx="5977890" cy="2590419"/>
                  <wp:effectExtent b="0" l="0" r="0" t="0"/>
                  <wp:docPr descr="" title="" id="142" name="Picture"/>
                  <a:graphic>
                    <a:graphicData uri="http://schemas.openxmlformats.org/drawingml/2006/picture">
                      <pic:pic>
                        <pic:nvPicPr>
                          <pic:cNvPr descr="02-CaracteristicadoSisceab_files/figure-docx/fig-evolucao-efetivo-1.png" id="143" name="Picture"/>
                          <pic:cNvPicPr>
                            <a:picLocks noChangeArrowheads="1" noChangeAspect="1"/>
                          </pic:cNvPicPr>
                        </pic:nvPicPr>
                        <pic:blipFill>
                          <a:blip r:embed="rId141"/>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2.19: Evolução do Efetivo de ATCO no COMAER</w:t>
            </w:r>
          </w:p>
          <w:bookmarkEnd w:id="144"/>
        </w:tc>
      </w:tr>
    </w:tbl>
    <w:p>
      <w:pPr>
        <w:pStyle w:val="Corpodetexto"/>
      </w:pPr>
      <w:r>
        <w:t xml:space="preserve">O crescimento do efetivo global reflete uma estratégia contínua de recomposição e expansão do quadro técnico. No âmbito do COMAER, o número de controladores saltou de 3.867 em 2019 para os atuais 4.658. Em 2025, embora o crescimento direto no COMAER tenha sido de 0,50%, observou-se uma variação positiva de 0,9% na NAV Brasil e um incremento expressivo de 6,7% no grupo de outras organizações externas em comparação ao ano anterior.</w:t>
      </w:r>
    </w:p>
    <w:p>
      <w:pPr>
        <w:pStyle w:val="Corpodetexto"/>
      </w:pPr>
      <w:r>
        <w:t xml:space="preserve">A</w:t>
      </w:r>
      <w:r>
        <w:t xml:space="preserve"> </w:t>
      </w:r>
      <w:hyperlink w:anchor="fig-evolucao-efetivo-externo">
        <w:r>
          <w:rPr>
            <w:rStyle w:val="Hyperlink"/>
          </w:rPr>
          <w:t xml:space="preserve">Figura 2.20</w:t>
        </w:r>
      </w:hyperlink>
      <w:r>
        <w:t xml:space="preserve"> </w:t>
      </w:r>
      <w:r>
        <w:t xml:space="preserve">apresenta o total de controladores pertencentes ao efetivo do SISCEAB, apenas discriminando os quantitativos de efetivo militar (COMAER) e efetivo civil (NAV BRASIL e Outros).</w:t>
      </w:r>
    </w:p>
    <w:tbl>
      <w:tblPr>
        <w:tblStyle w:val="Table"/>
        <w:tblW w:type="pct" w:w="5000"/>
        <w:tblLayout w:type="fixed"/>
        <w:tblLook w:firstRow="0" w:lastRow="0" w:firstColumn="0" w:lastColumn="0" w:noHBand="0" w:noVBand="0" w:val="0000"/>
      </w:tblPr>
      <w:tblGrid>
        <w:gridCol w:w="7920"/>
      </w:tblGrid>
      <w:tr>
        <w:tc>
          <w:tcPr/>
          <w:bookmarkStart w:id="148" w:name="fig-evolucao-efetivo-externo"/>
          <w:p>
            <w:pPr>
              <w:pStyle w:val="Compact"/>
              <w:jc w:val="center"/>
            </w:pPr>
            <w:r>
              <w:drawing>
                <wp:inline>
                  <wp:extent cx="5977890" cy="2590419"/>
                  <wp:effectExtent b="0" l="0" r="0" t="0"/>
                  <wp:docPr descr="" title="" id="146" name="Picture"/>
                  <a:graphic>
                    <a:graphicData uri="http://schemas.openxmlformats.org/drawingml/2006/picture">
                      <pic:pic>
                        <pic:nvPicPr>
                          <pic:cNvPr descr="02-CaracteristicadoSisceab_files/figure-docx/fig-evolucao-efetivo-externo-1.png" id="147" name="Picture"/>
                          <pic:cNvPicPr>
                            <a:picLocks noChangeArrowheads="1" noChangeAspect="1"/>
                          </pic:cNvPicPr>
                        </pic:nvPicPr>
                        <pic:blipFill>
                          <a:blip r:embed="rId145"/>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2.20: Efetivo de ATCO em Organizações Externas ao COMAER</w:t>
            </w:r>
          </w:p>
          <w:bookmarkEnd w:id="148"/>
        </w:tc>
      </w:tr>
    </w:tbl>
    <w:p>
      <w:pPr>
        <w:pStyle w:val="Corpodetexto"/>
      </w:pPr>
      <w:r>
        <w:t xml:space="preserve">Conforme a</w:t>
      </w:r>
      <w:r>
        <w:t xml:space="preserve"> </w:t>
      </w:r>
      <w:hyperlink w:anchor="fig-total-atco-sisceab">
        <w:r>
          <w:rPr>
            <w:rStyle w:val="Hyperlink"/>
          </w:rPr>
          <w:t xml:space="preserve">Figura 2.21</w:t>
        </w:r>
      </w:hyperlink>
      <w:r>
        <w:t xml:space="preserve">, a variação do efetivo de controladores por regional em 2025 revela um esforço de redistribuição estratégica para equilibrar a força de trabalho com as demandas específicas de cada área de controle. O CINDACTA IV e o CINDACTA I lideraram os índices de crescimento, com altas de 2,4% (641 controladores) e 2,1% (981 controladores), respectivamente, reforçando a capacidade operacional tanto na região amazônica quanto no centro do fluxo aéreo nacional.</w:t>
      </w:r>
    </w:p>
    <w:tbl>
      <w:tblPr>
        <w:tblStyle w:val="Table"/>
        <w:tblW w:type="pct" w:w="5000"/>
        <w:tblLayout w:type="fixed"/>
        <w:tblLook w:firstRow="0" w:lastRow="0" w:firstColumn="0" w:lastColumn="0" w:noHBand="0" w:noVBand="0" w:val="0000"/>
      </w:tblPr>
      <w:tblGrid>
        <w:gridCol w:w="7920"/>
      </w:tblGrid>
      <w:tr>
        <w:tc>
          <w:tcPr/>
          <w:bookmarkStart w:id="152" w:name="fig-total-atco-sisceab"/>
          <w:p>
            <w:pPr>
              <w:pStyle w:val="Compact"/>
              <w:jc w:val="center"/>
            </w:pPr>
            <w:r>
              <w:drawing>
                <wp:inline>
                  <wp:extent cx="6642100" cy="7154546"/>
                  <wp:effectExtent b="0" l="0" r="0" t="0"/>
                  <wp:docPr descr="" title="" id="150" name="Picture"/>
                  <a:graphic>
                    <a:graphicData uri="http://schemas.openxmlformats.org/drawingml/2006/picture">
                      <pic:pic>
                        <pic:nvPicPr>
                          <pic:cNvPr descr="imagens/41_Total_ATCO_SISCEAB.png" id="151" name="Picture"/>
                          <pic:cNvPicPr>
                            <a:picLocks noChangeArrowheads="1" noChangeAspect="1"/>
                          </pic:cNvPicPr>
                        </pic:nvPicPr>
                        <pic:blipFill>
                          <a:blip r:embed="rId149"/>
                          <a:stretch>
                            <a:fillRect/>
                          </a:stretch>
                        </pic:blipFill>
                        <pic:spPr bwMode="auto">
                          <a:xfrm>
                            <a:off x="0" y="0"/>
                            <a:ext cx="6642100" cy="7154546"/>
                          </a:xfrm>
                          <a:prstGeom prst="rect">
                            <a:avLst/>
                          </a:prstGeom>
                          <a:noFill/>
                          <a:ln w="9525">
                            <a:noFill/>
                            <a:headEnd/>
                            <a:tailEnd/>
                          </a:ln>
                        </pic:spPr>
                      </pic:pic>
                    </a:graphicData>
                  </a:graphic>
                </wp:inline>
              </w:drawing>
            </w:r>
          </w:p>
          <w:p>
            <w:pPr>
              <w:jc w:val="center"/>
            </w:pPr>
            <w:pPr>
              <w:jc w:val="left"/>
              <w:spacing w:before="200"/>
              <w:pStyle w:val="ImageCaption"/>
            </w:pPr>
            <w:r>
              <w:t xml:space="preserve">Figura 2.21: Total de ATCO no SISCEAB</w:t>
            </w:r>
          </w:p>
          <w:bookmarkEnd w:id="152"/>
        </w:tc>
      </w:tr>
    </w:tbl>
    <w:p>
      <w:pPr>
        <w:pStyle w:val="Corpodetexto"/>
      </w:pPr>
      <w:r>
        <w:t xml:space="preserve">Por outro lado, alguns regionais apresentaram retrações pontuais, como o CRCEA-SE, que registrou a maior redução percentual (1,3%, totalizando 751 ATCOs), seguido pelo CINDACTA III (0,8%, com 824 ATCOs) e pelo CINDACTA II (0,6%, encerrando o ano com 902 ATCOs). Essas oscilações indicam um ajuste dinâmico do efetivo do COMAER, que somou 4.658 controladores de tráfego aéreo, visando otimizar a alocação técnica conforme a evolução da densidade de tráfego, garantindo a resiliência do sistema para as operações de 2026.</w:t>
      </w:r>
    </w:p>
    <w:tbl>
      <w:tblPr>
        <w:tblStyle w:val="Table"/>
        <w:tblW w:type="pct" w:w="5000"/>
        <w:tblLayout w:type="fixed"/>
        <w:tblLook w:firstRow="0" w:lastRow="0" w:firstColumn="0" w:lastColumn="0" w:noHBand="0" w:noVBand="0" w:val="0000"/>
      </w:tblPr>
      <w:tblGrid>
        <w:gridCol w:w="7920"/>
      </w:tblGrid>
      <w:tr>
        <w:tc>
          <w:tcPr/>
          <w:bookmarkStart w:id="156" w:name="fig-variacao-efetivo"/>
          <w:p>
            <w:pPr>
              <w:pStyle w:val="Compact"/>
              <w:jc w:val="center"/>
            </w:pPr>
            <w:r>
              <w:drawing>
                <wp:inline>
                  <wp:extent cx="5977890" cy="2590419"/>
                  <wp:effectExtent b="0" l="0" r="0" t="0"/>
                  <wp:docPr descr="" title="" id="154" name="Picture"/>
                  <a:graphic>
                    <a:graphicData uri="http://schemas.openxmlformats.org/drawingml/2006/picture">
                      <pic:pic>
                        <pic:nvPicPr>
                          <pic:cNvPr descr="02-CaracteristicadoSisceab_files/figure-docx/fig-variacao-efetivo-1.png" id="155" name="Picture"/>
                          <pic:cNvPicPr>
                            <a:picLocks noChangeArrowheads="1" noChangeAspect="1"/>
                          </pic:cNvPicPr>
                        </pic:nvPicPr>
                        <pic:blipFill>
                          <a:blip r:embed="rId153"/>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2.22: Variação de Efetivo ATCO por Regional</w:t>
            </w:r>
          </w:p>
          <w:bookmarkEnd w:id="156"/>
        </w:tc>
      </w:tr>
    </w:tbl>
    <w:bookmarkEnd w:id="157"/>
    <w:bookmarkStart w:id="162" w:name="nível-de-proficiência-de-inglês-dos-atco"/>
    <w:p>
      <w:pPr>
        <w:pStyle w:val="Ttulo3"/>
      </w:pPr>
      <w:r>
        <w:t xml:space="preserve">2.4.2 NÍVEL DE PROFICIÊNCIA DE INGLÊS DOS ATCO</w:t>
      </w:r>
    </w:p>
    <w:p>
      <w:pPr>
        <w:pStyle w:val="FirstParagraph"/>
      </w:pPr>
      <w:r>
        <w:t xml:space="preserve">O DECEA busca capacitar seus controladores de tráfego aéreo conforme os requisitos de proficiência linguística estabelecidos pela OACI no Documento 9835 (</w:t>
      </w:r>
      <w:r>
        <w:rPr>
          <w:i/>
          <w:iCs/>
        </w:rPr>
        <w:t xml:space="preserve">Manual on the Implementation of Language Proficiency Requirements</w:t>
      </w:r>
      <w:r>
        <w:t xml:space="preserve">). Segundo esses requisitos, o Nível de Proficiência (NP) varia de 1 a 6, sendo o NP 4 o nível mínimo operacional exigido.</w:t>
      </w:r>
    </w:p>
    <w:p>
      <w:pPr>
        <w:pStyle w:val="Corpodetexto"/>
      </w:pPr>
      <w:r>
        <w:t xml:space="preserve">É importante esclarecer que o ATCO brasileiro possui capacitação para realizar as comunicações padronizadas de controle de tráfego aéreo em inglês, utilizando a fraseologia prevista na legislação em vigor, independentemente do NP alcançado.</w:t>
      </w:r>
    </w:p>
    <w:p>
      <w:pPr>
        <w:pStyle w:val="Corpodetexto"/>
      </w:pPr>
      <w:r>
        <w:t xml:space="preserve">Outrossim, ressalta-se que o Comando da Aeronáutica instituiu ações sistêmicas nas escolas de formação e nas Organizações Regionais para capacitar e avaliar os controladores segundo os critérios da OACI. Essas medidas incluem investimentos em treinamento e ações voltadas ao alcance de metas a médio e longo prazo, visando garantir a segurança, a eficiência do tráfego aéreo e o atendimento às operações internacionais no país.</w:t>
      </w:r>
    </w:p>
    <w:p>
      <w:pPr>
        <w:pStyle w:val="Corpodetexto"/>
      </w:pPr>
      <w:r>
        <w:t xml:space="preserve">A</w:t>
      </w:r>
      <w:r>
        <w:t xml:space="preserve"> </w:t>
      </w:r>
      <w:hyperlink w:anchor="fig-percentual-efetivo">
        <w:r>
          <w:rPr>
            <w:rStyle w:val="Hyperlink"/>
          </w:rPr>
          <w:t xml:space="preserve">Figura 2.23</w:t>
        </w:r>
      </w:hyperlink>
      <w:r>
        <w:t xml:space="preserve"> </w:t>
      </w:r>
      <w:r>
        <w:t xml:space="preserve">apresenta o nível de proficiência em língua inglesa distribuído pelas Organizações Regionais do DECEA.</w:t>
      </w:r>
    </w:p>
    <w:tbl>
      <w:tblPr>
        <w:tblStyle w:val="Table"/>
        <w:tblW w:type="pct" w:w="5000"/>
        <w:tblLayout w:type="fixed"/>
        <w:tblLook w:firstRow="0" w:lastRow="0" w:firstColumn="0" w:lastColumn="0" w:noHBand="0" w:noVBand="0" w:val="0000"/>
      </w:tblPr>
      <w:tblGrid>
        <w:gridCol w:w="7920"/>
      </w:tblGrid>
      <w:tr>
        <w:tc>
          <w:tcPr/>
          <w:bookmarkStart w:id="161" w:name="fig-percentual-efetivo"/>
          <w:p>
            <w:pPr>
              <w:pStyle w:val="Compact"/>
              <w:jc w:val="center"/>
            </w:pPr>
            <w:r>
              <w:drawing>
                <wp:inline>
                  <wp:extent cx="5977890" cy="2590419"/>
                  <wp:effectExtent b="0" l="0" r="0" t="0"/>
                  <wp:docPr descr="" title="" id="159" name="Picture"/>
                  <a:graphic>
                    <a:graphicData uri="http://schemas.openxmlformats.org/drawingml/2006/picture">
                      <pic:pic>
                        <pic:nvPicPr>
                          <pic:cNvPr descr="02-CaracteristicadoSisceab_files/figure-docx/fig-percentual-efetivo-1.png" id="160" name="Picture"/>
                          <pic:cNvPicPr>
                            <a:picLocks noChangeArrowheads="1" noChangeAspect="1"/>
                          </pic:cNvPicPr>
                        </pic:nvPicPr>
                        <pic:blipFill>
                          <a:blip r:embed="rId158"/>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2.23: Percentual de ATCO com NP Operacional (4 ou acima)</w:t>
            </w:r>
          </w:p>
          <w:bookmarkEnd w:id="161"/>
        </w:tc>
      </w:tr>
    </w:tbl>
    <w:p>
      <w:pPr>
        <w:pStyle w:val="Corpodetexto"/>
      </w:pPr>
      <w:r>
        <w:t xml:space="preserve">O Nível de Proficiência Linguística (NP) do efetivo ATCO por Regional em 2025 é um indicador crítico de qualidade operacional, visto que o NP 4 é o nível mínimo internacionalmente estabelecido para operações seguras e eficazes. A distribuição dos dados demonstra um cenário heterogêneo entre as diferentes áreas de controle do SISCEAB.</w:t>
      </w:r>
    </w:p>
    <w:p>
      <w:pPr>
        <w:pStyle w:val="Corpodetexto"/>
      </w:pPr>
      <w:r>
        <w:t xml:space="preserve">O CINDACTA II destaca-se com o maior índice de proficiência adequada do país, registrando 47,0% do seu efetivo no patamar operacional desejado, seguido pelo CINDACTA I, que apresenta um índice de 41,0%, consolidando a capacidade técnica nas regiões de maior fluxo aéreo nacional.</w:t>
      </w:r>
    </w:p>
    <w:p>
      <w:pPr>
        <w:pStyle w:val="Corpodetexto"/>
      </w:pPr>
      <w:r>
        <w:t xml:space="preserve">O CRCEA-SE, responsável pela área de maior densidade de tráfego (TMA-SP e TMA-RJ), mantém 39,0% dos seus controladores no nível NP 4 ou superior, enquanto nas demais regiões, os índices apresentam marcas distintas, com o CINDACTA III registrando 38,0% do efetivo com proficiência adequada e o CINDACTA IV apresentando o índice mais baixo do sistema, com 27,0% de controladores atingindo o nível NP 4.</w:t>
      </w:r>
    </w:p>
    <w:bookmarkEnd w:id="162"/>
    <w:bookmarkEnd w:id="163"/>
    <w:bookmarkStart w:id="169" w:name="fatores-meteorológicos"/>
    <w:p>
      <w:pPr>
        <w:pStyle w:val="Ttulo2"/>
      </w:pPr>
      <w:r>
        <w:t xml:space="preserve">2.5 FATORES METEOROLÓGICOS</w:t>
      </w:r>
    </w:p>
    <w:p>
      <w:pPr>
        <w:pStyle w:val="FirstParagraph"/>
      </w:pPr>
      <w:r>
        <w:t xml:space="preserve">A aviação é um dos setores econômicos mais sensíveis aos fatores meteorológicos. Historicamente, grande parte dos avanços na previsão do tempo tem sido para a melhoria dos serviços voltados ao setor da navegação aérea. Nesse sentido, as informações meteorológicas são indispensáveis ao planejamento dos voos e essenciais à segurança e à eficiência das operações aéreas.</w:t>
      </w:r>
    </w:p>
    <w:p>
      <w:pPr>
        <w:pStyle w:val="Corpodetexto"/>
      </w:pPr>
      <w:r>
        <w:t xml:space="preserve">As informações meteorológicas devem atender aos critérios de disponibilidade, pontualidade e qualidade. O Portal REDEMET é o meio oficial disponibilizado pelo DECEA para a consulta de informações e produtos de meteorologia, de modo rápido, eficaz e seguro.</w:t>
      </w:r>
    </w:p>
    <w:p>
      <w:pPr>
        <w:pStyle w:val="Corpodetexto"/>
      </w:pPr>
      <w:r>
        <w:t xml:space="preserve">Em relação aos aeroportos, para que se avalie as condições meteorológicas, faz-se necessário estabelecer os critérios de teto e visibilidade. A</w:t>
      </w:r>
      <w:r>
        <w:t xml:space="preserve"> </w:t>
      </w:r>
      <w:hyperlink w:anchor="tbl-criterio-teto-visibilidade">
        <w:r>
          <w:rPr>
            <w:rStyle w:val="Hyperlink"/>
          </w:rPr>
          <w:t xml:space="preserve">Tabela 2.8</w:t>
        </w:r>
      </w:hyperlink>
      <w:r>
        <w:t xml:space="preserve"> </w:t>
      </w:r>
      <w:r>
        <w:t xml:space="preserve">apresenta os parâmetros considerados para as condições meteorológicas de voo visual (VMC) e por instrumentos (IMC), bem como condições marginais.</w:t>
      </w:r>
    </w:p>
    <w:tbl>
      <w:tblPr>
        <w:tblStyle w:val="Table"/>
        <w:tblW w:type="pct" w:w="5000"/>
        <w:tblLayout w:type="fixed"/>
        <w:tblLook w:firstRow="0" w:lastRow="0" w:firstColumn="0" w:lastColumn="0" w:noHBand="0" w:noVBand="0" w:val="0000"/>
      </w:tblPr>
      <w:tblGrid>
        <w:gridCol w:w="7920"/>
      </w:tblGrid>
      <w:tr>
        <w:tc>
          <w:tcPr/>
          <w:bookmarkStart w:id="164" w:name="tbl-criterio-teto-visibilidade"/>
          <w:p>
            <w:pPr>
              <w:jc w:val="center"/>
            </w:pPr>
            <w:pPr>
              <w:jc w:val="left"/>
              <w:spacing w:before="200"/>
              <w:pStyle w:val="ImageCaption"/>
            </w:pPr>
            <w:r>
              <w:t xml:space="preserve">Tabela 2.8: Critérios de teto e visibilidade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center"/>
                    <w:jc w:val="center"/>
                  </w:pPr>
                  <w:r>
                    <w:t xml:space="preserve">Teto (ft)</w:t>
                  </w:r>
                </w:p>
              </w:tc>
              <w:tc>
                <w:tcPr/>
                <w:p>
                  <w:pPr>
                    <w:pStyle w:val="Compact"/>
                    <w:jc w:val="center"/>
                    <w:jc w:val="center"/>
                  </w:pPr>
                  <w:r>
                    <w:t xml:space="preserve">&lt; 3 km</w:t>
                  </w:r>
                </w:p>
              </w:tc>
              <w:tc>
                <w:tcPr/>
                <w:p>
                  <w:pPr>
                    <w:pStyle w:val="Compact"/>
                    <w:jc w:val="center"/>
                    <w:jc w:val="center"/>
                  </w:pPr>
                  <w:r>
                    <w:t xml:space="preserve">(3, 5) km</w:t>
                  </w:r>
                </w:p>
              </w:tc>
              <w:tc>
                <w:tcPr/>
                <w:p>
                  <w:pPr>
                    <w:pStyle w:val="Compact"/>
                    <w:jc w:val="center"/>
                    <w:jc w:val="center"/>
                  </w:pPr>
                  <w:r>
                    <w:t xml:space="preserve">≥ 5 km</w:t>
                  </w:r>
                </w:p>
              </w:tc>
            </w:tr>
            <w:tr>
              <w:tc>
                <w:tcPr/>
                <w:p>
                  <w:pPr>
                    <w:pStyle w:val="Compact"/>
                    <w:jc w:val="center"/>
                    <w:jc w:val="center"/>
                  </w:pPr>
                  <w:r>
                    <w:t xml:space="preserve">≥ 1.500</w:t>
                  </w:r>
                </w:p>
              </w:tc>
              <w:tc>
                <w:tcPr/>
                <w:p>
                  <w:pPr>
                    <w:pStyle w:val="Compact"/>
                    <w:jc w:val="center"/>
                    <w:jc w:val="center"/>
                  </w:pPr>
                  <w:r>
                    <w:t xml:space="preserve">IMC</w:t>
                  </w:r>
                </w:p>
              </w:tc>
              <w:tc>
                <w:tcPr/>
                <w:p>
                  <w:pPr>
                    <w:pStyle w:val="Compact"/>
                    <w:jc w:val="center"/>
                    <w:jc w:val="center"/>
                  </w:pPr>
                  <w:r>
                    <w:t xml:space="preserve">MRG</w:t>
                  </w:r>
                </w:p>
              </w:tc>
              <w:tc>
                <w:tcPr/>
                <w:p>
                  <w:pPr>
                    <w:pStyle w:val="Compact"/>
                    <w:jc w:val="center"/>
                    <w:jc w:val="center"/>
                  </w:pPr>
                  <w:r>
                    <w:t xml:space="preserve">VMC</w:t>
                  </w:r>
                </w:p>
              </w:tc>
            </w:tr>
            <w:tr>
              <w:tc>
                <w:tcPr/>
                <w:p>
                  <w:pPr>
                    <w:pStyle w:val="Compact"/>
                    <w:jc w:val="center"/>
                    <w:jc w:val="center"/>
                  </w:pPr>
                  <w:r>
                    <w:t xml:space="preserve">(1.000, 1.500)</w:t>
                  </w:r>
                </w:p>
              </w:tc>
              <w:tc>
                <w:tcPr/>
                <w:p>
                  <w:pPr>
                    <w:pStyle w:val="Compact"/>
                    <w:jc w:val="center"/>
                    <w:jc w:val="center"/>
                  </w:pPr>
                  <w:r>
                    <w:t xml:space="preserve">IMC</w:t>
                  </w:r>
                </w:p>
              </w:tc>
              <w:tc>
                <w:tcPr/>
                <w:p>
                  <w:pPr>
                    <w:pStyle w:val="Compact"/>
                    <w:jc w:val="center"/>
                    <w:jc w:val="center"/>
                  </w:pPr>
                  <w:r>
                    <w:t xml:space="preserve">MRG</w:t>
                  </w:r>
                </w:p>
              </w:tc>
              <w:tc>
                <w:tcPr/>
                <w:p>
                  <w:pPr>
                    <w:pStyle w:val="Compact"/>
                    <w:jc w:val="center"/>
                    <w:jc w:val="center"/>
                  </w:pPr>
                  <w:r>
                    <w:t xml:space="preserve">MRG</w:t>
                  </w:r>
                </w:p>
              </w:tc>
            </w:tr>
            <w:tr>
              <w:tc>
                <w:tcPr/>
                <w:p>
                  <w:pPr>
                    <w:pStyle w:val="Compact"/>
                    <w:jc w:val="center"/>
                    <w:jc w:val="center"/>
                  </w:pPr>
                  <w:r>
                    <w:t xml:space="preserve">&lt; 1.000</w:t>
                  </w:r>
                </w:p>
              </w:tc>
              <w:tc>
                <w:tcPr/>
                <w:p>
                  <w:pPr>
                    <w:pStyle w:val="Compact"/>
                    <w:jc w:val="center"/>
                    <w:jc w:val="center"/>
                  </w:pPr>
                  <w:r>
                    <w:t xml:space="preserve">IMC</w:t>
                  </w:r>
                </w:p>
              </w:tc>
              <w:tc>
                <w:tcPr/>
                <w:p>
                  <w:pPr>
                    <w:pStyle w:val="Compact"/>
                    <w:jc w:val="center"/>
                    <w:jc w:val="center"/>
                  </w:pPr>
                  <w:r>
                    <w:t xml:space="preserve">IMC</w:t>
                  </w:r>
                </w:p>
              </w:tc>
              <w:tc>
                <w:tcPr/>
                <w:p>
                  <w:pPr>
                    <w:pStyle w:val="Compact"/>
                    <w:jc w:val="center"/>
                    <w:jc w:val="center"/>
                  </w:pPr>
                  <w:r>
                    <w:t xml:space="preserve">IMC</w:t>
                  </w:r>
                </w:p>
              </w:tc>
            </w:tr>
          </w:tbl>
          <w:bookmarkEnd w:id="164"/>
          <w:p/>
        </w:tc>
      </w:tr>
    </w:tbl>
    <w:p>
      <w:pPr>
        <w:pStyle w:val="Corpodetexto"/>
      </w:pPr>
      <w:r>
        <w:t xml:space="preserve">NOTA 1: Em função das diferenças dos critérios para cada aeroporto, o quadro anterior foi criado com o intuito de permitir a comparação das condições meteorológicas nos aeroportos.</w:t>
      </w:r>
    </w:p>
    <w:p>
      <w:pPr>
        <w:pStyle w:val="Corpodetexto"/>
      </w:pPr>
      <w:r>
        <w:t xml:space="preserve">A</w:t>
      </w:r>
      <w:r>
        <w:t xml:space="preserve"> </w:t>
      </w:r>
      <w:hyperlink w:anchor="Xebec56f0867139f6add904a51c0e8667307fd84">
        <w:r>
          <w:rPr>
            <w:rStyle w:val="Hyperlink"/>
          </w:rPr>
          <w:t xml:space="preserve">Figura 2.24</w:t>
        </w:r>
      </w:hyperlink>
      <w:r>
        <w:t xml:space="preserve"> </w:t>
      </w:r>
      <w:r>
        <w:t xml:space="preserve">exibe, de acordo com os critérios de teto e visibilidade apresentados, as condições meteorológicas de operação dos aeroportos verificadas no período entre 1º de janeiro e 31 de dezembro de 2025.</w:t>
      </w:r>
    </w:p>
    <w:p>
      <w:pPr>
        <w:pStyle w:val="Corpodetexto"/>
      </w:pPr>
      <w:r>
        <w:t xml:space="preserve">NOTA 2: Os percentuais menores que 3% não foram demonstrados no gráfico para uma melhor visualização, por serem de menor representatividade.</w:t>
      </w:r>
    </w:p>
    <w:p>
      <w:pPr>
        <w:pStyle w:val="Corpodetexto"/>
      </w:pPr>
      <w:r>
        <w:t xml:space="preserve">As condições meteorológicas nos aeroportos brasileiros são, em geral, favoráveis às operações de tráfego aéreo, ressaltando que as condições IMC não são impeditivas para a operação de aeronaves.</w:t>
      </w:r>
    </w:p>
    <w:tbl>
      <w:tblPr>
        <w:tblStyle w:val="Table"/>
        <w:tblW w:type="pct" w:w="5000"/>
        <w:tblLayout w:type="fixed"/>
        <w:tblLook w:firstRow="0" w:lastRow="0" w:firstColumn="0" w:lastColumn="0" w:noHBand="0" w:noVBand="0" w:val="0000"/>
      </w:tblPr>
      <w:tblGrid>
        <w:gridCol w:w="7920"/>
      </w:tblGrid>
      <w:tr>
        <w:tc>
          <w:tcPr/>
          <w:bookmarkStart w:id="168" w:name="Xebec56f0867139f6add904a51c0e8667307fd84"/>
          <w:p>
            <w:pPr>
              <w:pStyle w:val="Compact"/>
              <w:jc w:val="center"/>
            </w:pPr>
            <w:r>
              <w:drawing>
                <wp:inline>
                  <wp:extent cx="5977890" cy="7472362"/>
                  <wp:effectExtent b="0" l="0" r="0" t="0"/>
                  <wp:docPr descr="" title="" id="166" name="Picture"/>
                  <a:graphic>
                    <a:graphicData uri="http://schemas.openxmlformats.org/drawingml/2006/picture">
                      <pic:pic>
                        <pic:nvPicPr>
                          <pic:cNvPr descr="02-CaracteristicadoSisceab_files/figure-docx/fig-condicoes-meteorologicas-por-aeroporto-1.png" id="167" name="Picture"/>
                          <pic:cNvPicPr>
                            <a:picLocks noChangeArrowheads="1" noChangeAspect="1"/>
                          </pic:cNvPicPr>
                        </pic:nvPicPr>
                        <pic:blipFill>
                          <a:blip r:embed="rId165"/>
                          <a:stretch>
                            <a:fillRect/>
                          </a:stretch>
                        </pic:blipFill>
                        <pic:spPr bwMode="auto">
                          <a:xfrm>
                            <a:off x="0" y="0"/>
                            <a:ext cx="5977890" cy="7472362"/>
                          </a:xfrm>
                          <a:prstGeom prst="rect">
                            <a:avLst/>
                          </a:prstGeom>
                          <a:noFill/>
                          <a:ln w="9525">
                            <a:noFill/>
                            <a:headEnd/>
                            <a:tailEnd/>
                          </a:ln>
                        </pic:spPr>
                      </pic:pic>
                    </a:graphicData>
                  </a:graphic>
                </wp:inline>
              </w:drawing>
            </w:r>
          </w:p>
          <w:p>
            <w:pPr>
              <w:jc w:val="center"/>
            </w:pPr>
            <w:pPr>
              <w:jc w:val="left"/>
              <w:spacing w:before="200"/>
              <w:pStyle w:val="ImageCaption"/>
            </w:pPr>
            <w:r>
              <w:t xml:space="preserve">Figura 2.24: Condições meteorológicas (por aeroporto) em 2025</w:t>
            </w:r>
          </w:p>
          <w:bookmarkEnd w:id="168"/>
        </w:tc>
      </w:tr>
    </w:tbl>
    <w:p>
      <w:pPr>
        <w:pStyle w:val="Corpodetexto"/>
      </w:pPr>
      <w:r>
        <w:t xml:space="preserve">A análise das condições meteorológicas por aeródromo em 2025 é fundamental para compreender a disponibilidade operacional do espaço aéreo, uma vez que o teto e a visibilidade determinam se um voo pode ser realizado sob Condições de Voo Visual (VMC), por Instrumentos (IMC) ou em condições Marginais (MRG). O levantamento demonstra que a grande maioria dos principais aeroportos brasileiros operou com altos índices de disponibilidade visual, garantindo fluidez às operações.</w:t>
      </w:r>
    </w:p>
    <w:p>
      <w:pPr>
        <w:pStyle w:val="Corpodetexto"/>
      </w:pPr>
      <w:r>
        <w:t xml:space="preserve">Os dados revelam que uma parcela significativa das localidades monitoradas manteve condições VMC acima de 90% do tempo. Destacam-se aeródromos como Ribeirão Preto (SBRP), Fortaleza (SBFZ) e Goiânia (SBGO), que registraram disponibilidades visuais de 97,8%, 97,6% e 97,0%, respectivamente. Outros terminais de alta densidade, como Confins (SBCF) e Santos Dumont (SBRJ), também operaram com índices elevados de VMC, situando-se em 93,8% e 93,1%.</w:t>
      </w:r>
    </w:p>
    <w:p>
      <w:pPr>
        <w:pStyle w:val="Corpodetexto"/>
      </w:pPr>
      <w:r>
        <w:t xml:space="preserve">Em contrapartida, algumas localidades enfrentaram desafios meteorológicos mais frequentes, com destaque para Curitiba (SBCT), que apresentou o menor índice de VMC entre os grandes</w:t>
      </w:r>
      <w:r>
        <w:t xml:space="preserve"> </w:t>
      </w:r>
      <w:r>
        <w:rPr>
          <w:i/>
          <w:iCs/>
        </w:rPr>
        <w:t xml:space="preserve">hubs</w:t>
      </w:r>
      <w:r>
        <w:t xml:space="preserve">, registrando 54,2% e sendo significativamente impactado por condições IMC (30,7%) e MRG (15,0%). Na região Norte, Rio Branco (SBRB) e Porto Velho (SBPV) registraram incidências de condições IMC de 9,0% e 8,0%, respectivamente, reforçando a necessidade de uma infraestrutura de auxílios à navegação para garantir a regularidade nessas áreas. Já no eixo paulista, os aeroportos de Congonhas (SBSP) e Guarulhos (SBGR) mantiveram índices de IMC de 14,3% e 11,3%, refletindo a sazonalidade característica de fenômenos como nevoeiros na região Sudeste.</w:t>
      </w:r>
    </w:p>
    <w:bookmarkEnd w:id="169"/>
    <w:bookmarkStart w:id="171" w:name="projetos-no-sisceab"/>
    <w:p>
      <w:pPr>
        <w:pStyle w:val="Ttulo2"/>
      </w:pPr>
      <w:r>
        <w:t xml:space="preserve">2.6 PROJETOS NO SISCEAB</w:t>
      </w:r>
    </w:p>
    <w:p>
      <w:pPr>
        <w:pStyle w:val="FirstParagraph"/>
      </w:pPr>
      <w:r>
        <w:t xml:space="preserve">O</w:t>
      </w:r>
      <w:r>
        <w:t xml:space="preserve"> </w:t>
      </w:r>
      <w:r>
        <w:rPr>
          <w:b/>
          <w:bCs/>
        </w:rPr>
        <w:t xml:space="preserve">Programa SIRIUS</w:t>
      </w:r>
      <w:r>
        <w:t xml:space="preserve"> </w:t>
      </w:r>
      <w:r>
        <w:t xml:space="preserve">é a iniciativa estratégica do Comando da Aeronáutica (COMAER) voltada à evolução do Sistema de Controle do Espaço Aéreo Brasileiro (SISCEAB), em resposta ao crescimento do tráfego aéreo, à ampliação da diversidade de meios aéreos e aos avanços tecnológicos no setor da aviação.</w:t>
      </w:r>
    </w:p>
    <w:p>
      <w:pPr>
        <w:pStyle w:val="Corpodetexto"/>
      </w:pPr>
      <w:r>
        <w:t xml:space="preserve">Conduzido pelo Departamento de Controle do Espaço Aéreo (DECEA), o Programa SIRIUS tem promovido diversos benefícios ao Sistema, contribuindo para o aumento contínuo da capacidade de</w:t>
      </w:r>
      <w:r>
        <w:t xml:space="preserve"> </w:t>
      </w:r>
      <w:r>
        <w:rPr>
          <w:b/>
          <w:bCs/>
        </w:rPr>
        <w:t xml:space="preserve">Defender, Controlar e Integrar</w:t>
      </w:r>
      <w:r>
        <w:t xml:space="preserve"> </w:t>
      </w:r>
      <w:r>
        <w:t xml:space="preserve">o espaço aéreo sob jurisdição brasileira, que abrange aproximadamente</w:t>
      </w:r>
      <w:r>
        <w:t xml:space="preserve"> </w:t>
      </w:r>
      <w:r>
        <w:rPr>
          <w:b/>
          <w:bCs/>
        </w:rPr>
        <w:t xml:space="preserve">22 milhões de km²</w:t>
      </w:r>
      <w:r>
        <w:t xml:space="preserve">.</w:t>
      </w:r>
    </w:p>
    <w:p>
      <w:pPr>
        <w:pStyle w:val="Corpodetexto"/>
      </w:pPr>
      <w:r>
        <w:t xml:space="preserve">Por meio do Programa SIRIUS, o DECEA gerencia um conjunto de empreendimentos estratégicos e seus projetos correlatos, destinados à modernização e ao aprimoramento contínuo do SISCEAB, com o objetivo de atender às necessidades da sociedade brasileira e, em especial, dos usuários do espaço aéreo do país. Esses empreendimentos abrangem áreas como</w:t>
      </w:r>
      <w:r>
        <w:t xml:space="preserve"> </w:t>
      </w:r>
      <w:r>
        <w:rPr>
          <w:b/>
          <w:bCs/>
        </w:rPr>
        <w:t xml:space="preserve">gerenciamento de tráfego aéreo, comunicação, navegação e vigilância, meteorologia aeronáutica, segurança cibernética, busca e salvamento, recursos humanos e sustentabilidade</w:t>
      </w:r>
      <w:r>
        <w:t xml:space="preserve">, entre outras, contribuindo para o fortalecimento da infraestrutura e da eficiência da navegação aérea nacional.</w:t>
      </w:r>
    </w:p>
    <w:p>
      <w:pPr>
        <w:pStyle w:val="Corpodetexto"/>
      </w:pPr>
      <w:r>
        <w:t xml:space="preserve">Informações detalhadas sobre os empreendimentos, projetos e iniciativas do Programa SIRIUS podem ser consultadas no portal oficial do programa:</w:t>
      </w:r>
    </w:p>
    <w:p>
      <w:pPr>
        <w:pStyle w:val="Corpodetexto"/>
      </w:pPr>
      <w:hyperlink r:id="rId170">
        <w:r>
          <w:rPr>
            <w:rStyle w:val="Hyperlink"/>
          </w:rPr>
          <w:t xml:space="preserve">https://sirius.decea.mil.br/</w:t>
        </w:r>
      </w:hyperlink>
    </w:p>
    <w:bookmarkEnd w:id="171"/>
    <w:bookmarkStart w:id="180" w:name="seminário-de-performance-atm"/>
    <w:p>
      <w:pPr>
        <w:pStyle w:val="Ttulo2"/>
      </w:pPr>
      <w:r>
        <w:t xml:space="preserve">2.7 SEMINÁRIO DE PERFORMANCE ATM</w:t>
      </w:r>
    </w:p>
    <w:p>
      <w:pPr>
        <w:pStyle w:val="FirstParagraph"/>
      </w:pPr>
      <w:r>
        <w:t xml:space="preserve">O Seminário de Performance ATM busca consolidar-se como o principal fórum nacional sobre o tema, com apoio do DECEA, por meio da Comissão de Performance ATM. O evento tem como objetivos incentivar pesquisas e projetos na área, promover a colaboração entre especialistas das diversas áreas do SISCEAB e fomentar a busca por soluções práticas para os desafios do ATM nacional.</w:t>
      </w:r>
    </w:p>
    <w:p>
      <w:pPr>
        <w:pStyle w:val="Corpodetexto"/>
      </w:pPr>
      <w:r>
        <w:t xml:space="preserve">Contando com a participação de representantes do Brasil e do exterior, a quarta edição do Seminário de Performance ATM foi realizada entre os dias 14 e 16 de outubro de 2025, na Universidade Anhembi Morumbi, em São Paulo (SP). O evento promoveu debates sobre o uso de inteligência artificial, a redução de emissões de CO₂ e a gestão preditiva do espaço aéreo.</w:t>
      </w:r>
    </w:p>
    <w:p>
      <w:pPr>
        <w:pStyle w:val="Corpodetexto"/>
      </w:pPr>
      <w:r>
        <w:t xml:space="preserve">A cooperação internacional, como observado em edições anteriores, constituiu um dos pilares do seminário. Entre os palestrantes internacionais, destacaram-se representantes da</w:t>
      </w:r>
      <w:r>
        <w:t xml:space="preserve"> </w:t>
      </w:r>
      <w:r>
        <w:rPr>
          <w:i/>
          <w:iCs/>
        </w:rPr>
        <w:t xml:space="preserve">Civil Air Navigation Services Organisation</w:t>
      </w:r>
      <w:r>
        <w:t xml:space="preserve"> </w:t>
      </w:r>
      <w:r>
        <w:t xml:space="preserve">(CANSO), da</w:t>
      </w:r>
      <w:r>
        <w:t xml:space="preserve"> </w:t>
      </w:r>
      <w:r>
        <w:rPr>
          <w:i/>
          <w:iCs/>
        </w:rPr>
        <w:t xml:space="preserve">European Organisation for the Safety of Air Navigation</w:t>
      </w:r>
      <w:r>
        <w:t xml:space="preserve"> </w:t>
      </w:r>
      <w:r>
        <w:t xml:space="preserve">(EUROCONTROL), da</w:t>
      </w:r>
      <w:r>
        <w:t xml:space="preserve"> </w:t>
      </w:r>
      <w:r>
        <w:rPr>
          <w:i/>
          <w:iCs/>
        </w:rPr>
        <w:t xml:space="preserve">Federal Aviation Administration</w:t>
      </w:r>
      <w:r>
        <w:t xml:space="preserve"> </w:t>
      </w:r>
      <w:r>
        <w:t xml:space="preserve">(FAA) e da NAV Canada. As apresentações abordaram temas como a harmonização entre demanda e capacidade, a operacionalização de indicadores de performance e o uso de tecnologias voltadas à melhoria da eficiência e à redução das emissões de CO₂.</w:t>
      </w:r>
    </w:p>
    <w:tbl>
      <w:tblPr>
        <w:tblStyle w:val="Table"/>
        <w:tblW w:type="pct" w:w="5000"/>
        <w:tblLayout w:type="fixed"/>
        <w:tblLook w:firstRow="0" w:lastRow="0" w:firstColumn="0" w:lastColumn="0" w:noHBand="0" w:noVBand="0" w:val="0000"/>
      </w:tblPr>
      <w:tblGrid>
        <w:gridCol w:w="7920"/>
      </w:tblGrid>
      <w:tr>
        <w:tc>
          <w:tcPr/>
          <w:bookmarkStart w:id="175" w:name="fig-seminario"/>
          <w:p>
            <w:pPr>
              <w:pStyle w:val="Compact"/>
              <w:jc w:val="center"/>
            </w:pPr>
            <w:r>
              <w:drawing>
                <wp:inline>
                  <wp:extent cx="3810000" cy="2540000"/>
                  <wp:effectExtent b="0" l="0" r="0" t="0"/>
                  <wp:docPr descr="" title="" id="173" name="Picture"/>
                  <a:graphic>
                    <a:graphicData uri="http://schemas.openxmlformats.org/drawingml/2006/picture">
                      <pic:pic>
                        <pic:nvPicPr>
                          <pic:cNvPr descr="imagens/51_Seminario_de_Performance_2025_capa.jpg" id="174" name="Picture"/>
                          <pic:cNvPicPr>
                            <a:picLocks noChangeArrowheads="1" noChangeAspect="1"/>
                          </pic:cNvPicPr>
                        </pic:nvPicPr>
                        <pic:blipFill>
                          <a:blip r:embed="rId172"/>
                          <a:stretch>
                            <a:fillRect/>
                          </a:stretch>
                        </pic:blipFill>
                        <pic:spPr bwMode="auto">
                          <a:xfrm>
                            <a:off x="0" y="0"/>
                            <a:ext cx="3810000" cy="2540000"/>
                          </a:xfrm>
                          <a:prstGeom prst="rect">
                            <a:avLst/>
                          </a:prstGeom>
                          <a:noFill/>
                          <a:ln w="9525">
                            <a:noFill/>
                            <a:headEnd/>
                            <a:tailEnd/>
                          </a:ln>
                        </pic:spPr>
                      </pic:pic>
                    </a:graphicData>
                  </a:graphic>
                </wp:inline>
              </w:drawing>
            </w:r>
          </w:p>
          <w:p>
            <w:pPr>
              <w:jc w:val="center"/>
            </w:pPr>
            <w:pPr>
              <w:jc w:val="left"/>
              <w:spacing w:before="200"/>
              <w:pStyle w:val="ImageCaption"/>
            </w:pPr>
            <w:r>
              <w:t xml:space="preserve">Figura 2.25: Banner Seminário de Performance ATM 2025</w:t>
            </w:r>
          </w:p>
          <w:bookmarkEnd w:id="175"/>
        </w:tc>
      </w:tr>
    </w:tbl>
    <w:p>
      <w:pPr>
        <w:pStyle w:val="Corpodetexto"/>
      </w:pPr>
      <w:r>
        <w:t xml:space="preserve">Os avanços tecnológicos e operacionais promovidos pelo DECEA em benefício dos usuários do transporte aéreo e da comunidade aeronáutica também foram apresentados, com destaque para o Projeto Eco Norte, que contempla a reestruturação das Terminais Belém, Cuiabá e Manaus, visando à redução do tempo de voo, economia de combustível e diminuição das emissões de gases poluentes. Adicionalmente, foram discutidos temas como o uso da inteligência artificial na aviação, a integração entre meteorologia e gerenciamento de tráfego aéreo para uma gestão preditiva do espaço aéreo, a análise de desempenho para melhoria contínua da Terminal São Paulo e os desafios relacionados ao monitoramento em tempo real do espaço aéreo brasileiro.</w:t>
      </w:r>
    </w:p>
    <w:tbl>
      <w:tblPr>
        <w:tblStyle w:val="Table"/>
        <w:tblW w:type="pct" w:w="5000"/>
        <w:tblLayout w:type="fixed"/>
        <w:tblLook w:firstRow="0" w:lastRow="0" w:firstColumn="0" w:lastColumn="0" w:noHBand="0" w:noVBand="0" w:val="0000"/>
      </w:tblPr>
      <w:tblGrid>
        <w:gridCol w:w="7920"/>
      </w:tblGrid>
      <w:tr>
        <w:tc>
          <w:tcPr/>
          <w:bookmarkStart w:id="179" w:name="fig-foto-seminario"/>
          <w:p>
            <w:pPr>
              <w:pStyle w:val="Compact"/>
              <w:jc w:val="center"/>
            </w:pPr>
            <w:r>
              <w:drawing>
                <wp:inline>
                  <wp:extent cx="6642100" cy="1728717"/>
                  <wp:effectExtent b="0" l="0" r="0" t="0"/>
                  <wp:docPr descr="" title="" id="177" name="Picture"/>
                  <a:graphic>
                    <a:graphicData uri="http://schemas.openxmlformats.org/drawingml/2006/picture">
                      <pic:pic>
                        <pic:nvPicPr>
                          <pic:cNvPr descr="imagens/52_Seminario_de_Performance_2025.jpg" id="178" name="Picture"/>
                          <pic:cNvPicPr>
                            <a:picLocks noChangeArrowheads="1" noChangeAspect="1"/>
                          </pic:cNvPicPr>
                        </pic:nvPicPr>
                        <pic:blipFill>
                          <a:blip r:embed="rId176"/>
                          <a:stretch>
                            <a:fillRect/>
                          </a:stretch>
                        </pic:blipFill>
                        <pic:spPr bwMode="auto">
                          <a:xfrm>
                            <a:off x="0" y="0"/>
                            <a:ext cx="6642100" cy="1728717"/>
                          </a:xfrm>
                          <a:prstGeom prst="rect">
                            <a:avLst/>
                          </a:prstGeom>
                          <a:noFill/>
                          <a:ln w="9525">
                            <a:noFill/>
                            <a:headEnd/>
                            <a:tailEnd/>
                          </a:ln>
                        </pic:spPr>
                      </pic:pic>
                    </a:graphicData>
                  </a:graphic>
                </wp:inline>
              </w:drawing>
            </w:r>
          </w:p>
          <w:p>
            <w:pPr>
              <w:jc w:val="center"/>
            </w:pPr>
            <w:pPr>
              <w:jc w:val="left"/>
              <w:spacing w:before="200"/>
              <w:pStyle w:val="ImageCaption"/>
            </w:pPr>
            <w:r>
              <w:t xml:space="preserve">Figura 2.26: Foto Seminário de Performance ATM 2025</w:t>
            </w:r>
          </w:p>
          <w:bookmarkEnd w:id="179"/>
        </w:tc>
      </w:tr>
    </w:tbl>
    <w:p>
      <w:pPr>
        <w:pStyle w:val="Corpodetexto"/>
      </w:pPr>
      <w:r>
        <w:t xml:space="preserve">As discussões realizadas no Seminário de Performance ATM 2025 reforçaram a relevância do evento no cenário nacional e internacional. A edição de 2026 do Seminário está prevista para ocorrer no segundo semestre, com informações a serem disponibilizadas oportunamente no portal do DECEA.</w:t>
      </w:r>
    </w:p>
    <w:bookmarkEnd w:id="180"/>
    <w:bookmarkEnd w:id="181"/>
    <w:bookmarkStart w:id="493" w:name="indicadores-de-performance-atm"/>
    <w:p>
      <w:pPr>
        <w:pStyle w:val="Ttulo1"/>
      </w:pPr>
      <w:r>
        <w:t xml:space="preserve">3. INDICADORES DE PERFORMANCE ATM</w:t>
      </w:r>
    </w:p>
    <w:p>
      <w:pPr>
        <w:pStyle w:val="FirstParagraph"/>
      </w:pPr>
      <w:r>
        <w:t xml:space="preserve">Os indicadores de performance constituem instrumentos de medição que avaliam, de forma qualitativa e quantitativa, o desempenho passado e atual do sistema, em relação aos objetivos organizacionais estabelecidos. Esses indicadores permitem uma visão abrangente dos principais aspectos do gerenciamento do tráfego aéreo, incluindo a capacidade do espaço aéreo, a eficiência dos serviços de navegação, a segurança operacional e a qualidade dos serviços prestados aos usuários.</w:t>
      </w:r>
    </w:p>
    <w:p>
      <w:pPr>
        <w:pStyle w:val="Corpodetexto"/>
      </w:pPr>
      <w:r>
        <w:t xml:space="preserve">Neste contexto, o presente relatório apresenta, a seguir, os dados e indicadores de interesse do DECEA, organizados conforme as respectivas áreas de performance, com o propósito de monitorar o desempenho do SISCEAB e verificar o atendimento aos parâmetros e metas estabelecidos no PCA 100-3, conforme ilustrado na</w:t>
      </w:r>
      <w:r>
        <w:t xml:space="preserve"> </w:t>
      </w:r>
      <w:hyperlink w:anchor="tbl-meta">
        <w:r>
          <w:rPr>
            <w:rStyle w:val="Hyperlink"/>
          </w:rPr>
          <w:t xml:space="preserve">Tabela 3.1</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182" w:name="tbl-meta"/>
          <w:p>
            <w:pPr>
              <w:jc w:val="center"/>
            </w:pPr>
            <w:pPr>
              <w:jc w:val="left"/>
              <w:spacing w:before="200"/>
              <w:pStyle w:val="ImageCaption"/>
            </w:pPr>
            <w:r>
              <w:t xml:space="preserve">Tabela 3.1: Indicadores de Performance</w:t>
            </w:r>
          </w:p>
          <w:tbl>
            <w:tblPr>
              <w:tblStyle w:val="Table"/>
              <w:tblW w:type="pct" w:w="5000"/>
              <w:tblLayout w:type="fixed"/>
              <w:tblLook w:firstRow="1" w:lastRow="0" w:firstColumn="0" w:lastColumn="0" w:noHBand="0" w:noVBand="0" w:val="0020"/>
            </w:tblPr>
            <w:tblGrid>
              <w:gridCol w:w="875"/>
              <w:gridCol w:w="342"/>
              <w:gridCol w:w="2970"/>
              <w:gridCol w:w="3236"/>
              <w:gridCol w:w="495"/>
            </w:tblGrid>
            <w:tr>
              <w:trPr>
                <w:tblHeader w:val="on"/>
              </w:trPr>
              <w:tc>
                <w:tcPr/>
                <w:p>
                  <w:pPr>
                    <w:pStyle w:val="Compact"/>
                    <w:jc w:val="center"/>
                    <w:jc w:val="center"/>
                  </w:pPr>
                  <w:r>
                    <w:t xml:space="preserve">KPA</w:t>
                  </w:r>
                </w:p>
              </w:tc>
              <w:tc>
                <w:tcPr/>
                <w:p>
                  <w:pPr>
                    <w:pStyle w:val="Compact"/>
                    <w:jc w:val="center"/>
                    <w:jc w:val="center"/>
                  </w:pPr>
                  <w:r>
                    <w:t xml:space="preserve">Código</w:t>
                  </w:r>
                </w:p>
              </w:tc>
              <w:tc>
                <w:tcPr/>
                <w:p>
                  <w:pPr>
                    <w:pStyle w:val="Compact"/>
                    <w:jc w:val="center"/>
                    <w:jc w:val="center"/>
                  </w:pPr>
                  <w:r>
                    <w:t xml:space="preserve">Indicadores</w:t>
                  </w:r>
                </w:p>
              </w:tc>
              <w:tc>
                <w:tcPr/>
                <w:p>
                  <w:pPr>
                    <w:pStyle w:val="Compact"/>
                    <w:jc w:val="center"/>
                    <w:jc w:val="center"/>
                  </w:pPr>
                  <w:r>
                    <w:t xml:space="preserve">Meta</w:t>
                  </w:r>
                </w:p>
              </w:tc>
              <w:tc>
                <w:tcPr/>
                <w:p>
                  <w:pPr>
                    <w:pStyle w:val="Compact"/>
                    <w:jc w:val="center"/>
                    <w:jc w:val="center"/>
                  </w:pPr>
                  <w:r>
                    <w:t xml:space="preserve">Responsável</w:t>
                  </w:r>
                </w:p>
              </w:tc>
            </w:tr>
            <w:tr>
              <w:tc>
                <w:tcPr/>
                <w:p>
                  <w:pPr>
                    <w:pStyle w:val="Compact"/>
                    <w:jc w:val="center"/>
                    <w:jc w:val="center"/>
                  </w:pPr>
                  <w:r>
                    <w:t xml:space="preserve">Previsibilidade</w:t>
                  </w:r>
                </w:p>
              </w:tc>
              <w:tc>
                <w:tcPr/>
                <w:p>
                  <w:pPr>
                    <w:pStyle w:val="Compact"/>
                    <w:jc w:val="center"/>
                    <w:jc w:val="center"/>
                  </w:pPr>
                  <w:r>
                    <w:t xml:space="preserve">KPI 01</w:t>
                  </w:r>
                </w:p>
              </w:tc>
              <w:tc>
                <w:tcPr/>
                <w:p>
                  <w:pPr>
                    <w:pStyle w:val="Compact"/>
                    <w:jc w:val="center"/>
                    <w:jc w:val="center"/>
                  </w:pPr>
                  <w:r>
                    <w:t xml:space="preserve">Pontualidade de partida</w:t>
                  </w:r>
                </w:p>
              </w:tc>
              <w:tc>
                <w:tcPr/>
                <w:p>
                  <w:pPr>
                    <w:pStyle w:val="Compact"/>
                    <w:jc w:val="center"/>
                    <w:jc w:val="center"/>
                  </w:pPr>
                  <w:r>
                    <w:t xml:space="preserve">≥ 80% (15 min)</w:t>
                  </w:r>
                </w:p>
              </w:tc>
              <w:tc>
                <w:tcPr/>
                <w:p>
                  <w:pPr>
                    <w:pStyle w:val="Compact"/>
                    <w:jc w:val="center"/>
                    <w:jc w:val="center"/>
                  </w:pPr>
                  <w:r>
                    <w:t xml:space="preserve">CGNA</w:t>
                  </w:r>
                </w:p>
              </w:tc>
            </w:tr>
            <w:tr>
              <w:tc>
                <w:tcPr/>
                <w:p>
                  <w:pPr>
                    <w:pStyle w:val="Compact"/>
                    <w:jc w:val="center"/>
                    <w:jc w:val="center"/>
                  </w:pPr>
                  <w:r>
                    <w:t xml:space="preserve">Previsibilidade</w:t>
                  </w:r>
                </w:p>
              </w:tc>
              <w:tc>
                <w:tcPr/>
                <w:p>
                  <w:pPr>
                    <w:pStyle w:val="Compact"/>
                    <w:jc w:val="center"/>
                    <w:jc w:val="center"/>
                  </w:pPr>
                  <w:r>
                    <w:t xml:space="preserve">KPI 14</w:t>
                  </w:r>
                </w:p>
              </w:tc>
              <w:tc>
                <w:tcPr/>
                <w:p>
                  <w:pPr>
                    <w:pStyle w:val="Compact"/>
                    <w:jc w:val="center"/>
                    <w:jc w:val="center"/>
                  </w:pPr>
                  <w:r>
                    <w:t xml:space="preserve">Pontualidade de chegada</w:t>
                  </w:r>
                </w:p>
              </w:tc>
              <w:tc>
                <w:tcPr/>
                <w:p>
                  <w:pPr>
                    <w:pStyle w:val="Compact"/>
                    <w:jc w:val="center"/>
                    <w:jc w:val="center"/>
                  </w:pPr>
                  <w:r>
                    <w:t xml:space="preserve">≥ 70% (15 min)</w:t>
                  </w:r>
                </w:p>
              </w:tc>
              <w:tc>
                <w:tcPr/>
                <w:p>
                  <w:pPr>
                    <w:pStyle w:val="Compact"/>
                    <w:jc w:val="center"/>
                    <w:jc w:val="center"/>
                  </w:pPr>
                  <w:r>
                    <w:t xml:space="preserve">CGNA</w:t>
                  </w:r>
                </w:p>
              </w:tc>
            </w:tr>
            <w:tr>
              <w:tc>
                <w:tcPr/>
                <w:p>
                  <w:pPr>
                    <w:pStyle w:val="Compact"/>
                    <w:jc w:val="center"/>
                    <w:jc w:val="center"/>
                  </w:pPr>
                  <w:r>
                    <w:t xml:space="preserve">Previsibilidade</w:t>
                  </w:r>
                </w:p>
              </w:tc>
              <w:tc>
                <w:tcPr/>
                <w:p>
                  <w:pPr>
                    <w:pStyle w:val="Compact"/>
                    <w:jc w:val="center"/>
                    <w:jc w:val="center"/>
                  </w:pPr>
                  <w:r>
                    <w:t xml:space="preserve">KPI 15</w:t>
                  </w:r>
                </w:p>
              </w:tc>
              <w:tc>
                <w:tcPr/>
                <w:p>
                  <w:pPr>
                    <w:pStyle w:val="Compact"/>
                    <w:jc w:val="center"/>
                    <w:jc w:val="center"/>
                  </w:pPr>
                  <w:r>
                    <w:t xml:space="preserve">Variabilidade do tempo de voo (variante 1 - 70%)</w:t>
                  </w:r>
                </w:p>
              </w:tc>
              <w:tc>
                <w:tcPr/>
                <w:p>
                  <w:pPr>
                    <w:pStyle w:val="Compact"/>
                    <w:jc w:val="center"/>
                    <w:jc w:val="center"/>
                  </w:pPr>
                  <w:r>
                    <w:t xml:space="preserve">Tempo de voo médio ≥ 120 min -&gt; até 7 min Tempo de voo médio &lt; 120 min -&gt; até 6 min</w:t>
                  </w:r>
                </w:p>
              </w:tc>
              <w:tc>
                <w:tcPr/>
                <w:p>
                  <w:pPr>
                    <w:pStyle w:val="Compact"/>
                    <w:jc w:val="center"/>
                    <w:jc w:val="center"/>
                  </w:pPr>
                  <w:r>
                    <w:t xml:space="preserve">CGNA</w:t>
                  </w:r>
                </w:p>
              </w:tc>
            </w:tr>
            <w:tr>
              <w:tc>
                <w:tcPr/>
                <w:p>
                  <w:pPr>
                    <w:pStyle w:val="Compact"/>
                    <w:jc w:val="center"/>
                    <w:jc w:val="center"/>
                  </w:pPr>
                  <w:r>
                    <w:t xml:space="preserve">Eficiência</w:t>
                  </w:r>
                </w:p>
              </w:tc>
              <w:tc>
                <w:tcPr/>
                <w:p>
                  <w:pPr>
                    <w:pStyle w:val="Compact"/>
                    <w:jc w:val="center"/>
                    <w:jc w:val="center"/>
                  </w:pPr>
                  <w:r>
                    <w:t xml:space="preserve">KPI 02</w:t>
                  </w:r>
                </w:p>
              </w:tc>
              <w:tc>
                <w:tcPr/>
                <w:p>
                  <w:pPr>
                    <w:pStyle w:val="Compact"/>
                    <w:jc w:val="center"/>
                    <w:jc w:val="center"/>
                  </w:pPr>
                  <w:r>
                    <w:t xml:space="preserve">Tempo adicional de taxi-out</w:t>
                  </w:r>
                </w:p>
              </w:tc>
              <w:tc>
                <w:tcPr/>
                <w:p>
                  <w:pPr>
                    <w:pStyle w:val="Compact"/>
                    <w:jc w:val="center"/>
                    <w:jc w:val="center"/>
                  </w:pPr>
                  <w:r>
                    <w:t xml:space="preserve">Até 3,5 min</w:t>
                  </w:r>
                </w:p>
              </w:tc>
              <w:tc>
                <w:tcPr/>
                <w:p>
                  <w:pPr>
                    <w:pStyle w:val="Compact"/>
                    <w:jc w:val="center"/>
                    <w:jc w:val="center"/>
                  </w:pPr>
                  <w:r>
                    <w:t xml:space="preserve">CGNA</w:t>
                  </w:r>
                </w:p>
              </w:tc>
            </w:tr>
            <w:tr>
              <w:tc>
                <w:tcPr/>
                <w:p>
                  <w:pPr>
                    <w:pStyle w:val="Compact"/>
                    <w:jc w:val="center"/>
                    <w:jc w:val="center"/>
                  </w:pPr>
                  <w:r>
                    <w:t xml:space="preserve">Eficiência</w:t>
                  </w:r>
                </w:p>
              </w:tc>
              <w:tc>
                <w:tcPr/>
                <w:p>
                  <w:pPr>
                    <w:pStyle w:val="Compact"/>
                    <w:jc w:val="center"/>
                    <w:jc w:val="center"/>
                  </w:pPr>
                  <w:r>
                    <w:t xml:space="preserve">KPI 04</w:t>
                  </w:r>
                </w:p>
              </w:tc>
              <w:tc>
                <w:tcPr/>
                <w:p>
                  <w:pPr>
                    <w:pStyle w:val="Compact"/>
                    <w:jc w:val="center"/>
                    <w:jc w:val="center"/>
                  </w:pPr>
                  <w:r>
                    <w:t xml:space="preserve">Extensão em rota de plano de voo</w:t>
                  </w:r>
                </w:p>
              </w:tc>
              <w:tc>
                <w:tcPr/>
                <w:p>
                  <w:pPr>
                    <w:pStyle w:val="Compact"/>
                    <w:jc w:val="center"/>
                    <w:jc w:val="center"/>
                  </w:pPr>
                  <w:r>
                    <w:t xml:space="preserve">Monitorar</w:t>
                  </w:r>
                </w:p>
              </w:tc>
              <w:tc>
                <w:tcPr/>
                <w:p>
                  <w:pPr>
                    <w:pStyle w:val="Compact"/>
                    <w:jc w:val="center"/>
                    <w:jc w:val="center"/>
                  </w:pPr>
                  <w:r>
                    <w:t xml:space="preserve">CGNA</w:t>
                  </w:r>
                </w:p>
              </w:tc>
            </w:tr>
            <w:tr>
              <w:tc>
                <w:tcPr/>
                <w:p>
                  <w:pPr>
                    <w:pStyle w:val="Compact"/>
                    <w:jc w:val="center"/>
                    <w:jc w:val="center"/>
                  </w:pPr>
                  <w:r>
                    <w:t xml:space="preserve">Eficiência</w:t>
                  </w:r>
                </w:p>
              </w:tc>
              <w:tc>
                <w:tcPr/>
                <w:p>
                  <w:pPr>
                    <w:pStyle w:val="Compact"/>
                    <w:jc w:val="center"/>
                    <w:jc w:val="center"/>
                  </w:pPr>
                  <w:r>
                    <w:t xml:space="preserve">KPI 05</w:t>
                  </w:r>
                </w:p>
              </w:tc>
              <w:tc>
                <w:tcPr/>
                <w:p>
                  <w:pPr>
                    <w:pStyle w:val="Compact"/>
                    <w:jc w:val="center"/>
                    <w:jc w:val="center"/>
                  </w:pPr>
                  <w:r>
                    <w:t xml:space="preserve">Extensão real da rota</w:t>
                  </w:r>
                </w:p>
              </w:tc>
              <w:tc>
                <w:tcPr/>
                <w:p>
                  <w:pPr>
                    <w:pStyle w:val="Compact"/>
                    <w:jc w:val="center"/>
                    <w:jc w:val="center"/>
                  </w:pPr>
                  <w:r>
                    <w:t xml:space="preserve">Monitorar</w:t>
                  </w:r>
                </w:p>
              </w:tc>
              <w:tc>
                <w:tcPr/>
                <w:p>
                  <w:pPr>
                    <w:pStyle w:val="Compact"/>
                    <w:jc w:val="center"/>
                    <w:jc w:val="center"/>
                  </w:pPr>
                  <w:r>
                    <w:t xml:space="preserve">CGNA</w:t>
                  </w:r>
                </w:p>
              </w:tc>
            </w:tr>
            <w:tr>
              <w:tc>
                <w:tcPr/>
                <w:p>
                  <w:pPr>
                    <w:pStyle w:val="Compact"/>
                    <w:jc w:val="center"/>
                    <w:jc w:val="center"/>
                  </w:pPr>
                  <w:r>
                    <w:t xml:space="preserve">Eficiência</w:t>
                  </w:r>
                </w:p>
              </w:tc>
              <w:tc>
                <w:tcPr/>
                <w:p>
                  <w:pPr>
                    <w:pStyle w:val="Compact"/>
                    <w:jc w:val="center"/>
                    <w:jc w:val="center"/>
                  </w:pPr>
                  <w:r>
                    <w:t xml:space="preserve">KPI 08</w:t>
                  </w:r>
                </w:p>
              </w:tc>
              <w:tc>
                <w:tcPr/>
                <w:p>
                  <w:pPr>
                    <w:pStyle w:val="Compact"/>
                    <w:jc w:val="center"/>
                    <w:jc w:val="center"/>
                  </w:pPr>
                  <w:r>
                    <w:t xml:space="preserve">Tempo adicional em TMA (C100)</w:t>
                  </w:r>
                </w:p>
              </w:tc>
              <w:tc>
                <w:tcPr/>
                <w:p>
                  <w:pPr>
                    <w:pStyle w:val="Compact"/>
                    <w:jc w:val="center"/>
                    <w:jc w:val="center"/>
                  </w:pPr>
                  <w:r>
                    <w:t xml:space="preserve">SBGR, SBSP e SBKP: até 3,5 min Demais: até 2,5 min</w:t>
                  </w:r>
                </w:p>
              </w:tc>
              <w:tc>
                <w:tcPr/>
                <w:p>
                  <w:pPr>
                    <w:pStyle w:val="Compact"/>
                    <w:jc w:val="center"/>
                    <w:jc w:val="center"/>
                  </w:pPr>
                  <w:r>
                    <w:t xml:space="preserve">CGNA</w:t>
                  </w:r>
                </w:p>
              </w:tc>
            </w:tr>
            <w:tr>
              <w:tc>
                <w:tcPr/>
                <w:p>
                  <w:pPr>
                    <w:pStyle w:val="Compact"/>
                    <w:jc w:val="center"/>
                    <w:jc w:val="center"/>
                  </w:pPr>
                  <w:r>
                    <w:t xml:space="preserve">Eficiência</w:t>
                  </w:r>
                </w:p>
              </w:tc>
              <w:tc>
                <w:tcPr/>
                <w:p>
                  <w:pPr>
                    <w:pStyle w:val="Compact"/>
                    <w:jc w:val="center"/>
                    <w:jc w:val="center"/>
                  </w:pPr>
                  <w:r>
                    <w:t xml:space="preserve">KPI 13</w:t>
                  </w:r>
                </w:p>
              </w:tc>
              <w:tc>
                <w:tcPr/>
                <w:p>
                  <w:pPr>
                    <w:pStyle w:val="Compact"/>
                    <w:jc w:val="center"/>
                    <w:jc w:val="center"/>
                  </w:pPr>
                  <w:r>
                    <w:t xml:space="preserve">Tempo adicional de taxi-in</w:t>
                  </w:r>
                </w:p>
              </w:tc>
              <w:tc>
                <w:tcPr/>
                <w:p>
                  <w:pPr>
                    <w:pStyle w:val="Compact"/>
                    <w:jc w:val="center"/>
                    <w:jc w:val="center"/>
                  </w:pPr>
                  <w:r>
                    <w:t xml:space="preserve">Até 2 min</w:t>
                  </w:r>
                </w:p>
              </w:tc>
              <w:tc>
                <w:tcPr/>
                <w:p>
                  <w:pPr>
                    <w:pStyle w:val="Compact"/>
                    <w:jc w:val="center"/>
                    <w:jc w:val="center"/>
                  </w:pPr>
                  <w:r>
                    <w:t xml:space="preserve">CGNA</w:t>
                  </w:r>
                </w:p>
              </w:tc>
            </w:tr>
            <w:tr>
              <w:tc>
                <w:tcPr/>
                <w:p>
                  <w:pPr>
                    <w:pStyle w:val="Compact"/>
                    <w:jc w:val="center"/>
                    <w:jc w:val="center"/>
                  </w:pPr>
                  <w:r>
                    <w:t xml:space="preserve">Eficiência</w:t>
                  </w:r>
                </w:p>
              </w:tc>
              <w:tc>
                <w:tcPr/>
                <w:p>
                  <w:pPr>
                    <w:pStyle w:val="Compact"/>
                    <w:jc w:val="center"/>
                    <w:jc w:val="center"/>
                  </w:pPr>
                  <w:r>
                    <w:t xml:space="preserve">KPI 17</w:t>
                  </w:r>
                </w:p>
              </w:tc>
              <w:tc>
                <w:tcPr/>
                <w:p>
                  <w:pPr>
                    <w:pStyle w:val="Compact"/>
                    <w:jc w:val="center"/>
                    <w:jc w:val="center"/>
                  </w:pPr>
                  <w:r>
                    <w:t xml:space="preserve">Nivelamento em subida</w:t>
                  </w:r>
                </w:p>
              </w:tc>
              <w:tc>
                <w:tcPr/>
                <w:p>
                  <w:pPr>
                    <w:pStyle w:val="Compact"/>
                    <w:jc w:val="center"/>
                    <w:jc w:val="center"/>
                  </w:pPr>
                  <w:r>
                    <w:t xml:space="preserve">Monitorar</w:t>
                  </w:r>
                </w:p>
              </w:tc>
              <w:tc>
                <w:tcPr/>
                <w:p>
                  <w:pPr>
                    <w:pStyle w:val="Compact"/>
                    <w:jc w:val="center"/>
                    <w:jc w:val="center"/>
                  </w:pPr>
                  <w:r>
                    <w:t xml:space="preserve">CGNA</w:t>
                  </w:r>
                </w:p>
              </w:tc>
            </w:tr>
            <w:tr>
              <w:tc>
                <w:tcPr/>
                <w:p>
                  <w:pPr>
                    <w:pStyle w:val="Compact"/>
                    <w:jc w:val="center"/>
                    <w:jc w:val="center"/>
                  </w:pPr>
                  <w:r>
                    <w:t xml:space="preserve">Eficiência</w:t>
                  </w:r>
                </w:p>
              </w:tc>
              <w:tc>
                <w:tcPr/>
                <w:p>
                  <w:pPr>
                    <w:pStyle w:val="Compact"/>
                    <w:jc w:val="center"/>
                    <w:jc w:val="center"/>
                  </w:pPr>
                  <w:r>
                    <w:t xml:space="preserve">KPI 18</w:t>
                  </w:r>
                </w:p>
              </w:tc>
              <w:tc>
                <w:tcPr/>
                <w:p>
                  <w:pPr>
                    <w:pStyle w:val="Compact"/>
                    <w:jc w:val="center"/>
                    <w:jc w:val="center"/>
                  </w:pPr>
                  <w:r>
                    <w:t xml:space="preserve">Nivelamento em cruzeiro</w:t>
                  </w:r>
                </w:p>
              </w:tc>
              <w:tc>
                <w:tcPr/>
                <w:p>
                  <w:pPr>
                    <w:pStyle w:val="Compact"/>
                    <w:jc w:val="center"/>
                    <w:jc w:val="center"/>
                  </w:pPr>
                  <w:r>
                    <w:t xml:space="preserve">Monitorar</w:t>
                  </w:r>
                </w:p>
              </w:tc>
              <w:tc>
                <w:tcPr/>
                <w:p>
                  <w:pPr>
                    <w:pStyle w:val="Compact"/>
                    <w:jc w:val="center"/>
                    <w:jc w:val="center"/>
                  </w:pPr>
                  <w:r>
                    <w:t xml:space="preserve">CGNA</w:t>
                  </w:r>
                </w:p>
              </w:tc>
            </w:tr>
            <w:tr>
              <w:tc>
                <w:tcPr/>
                <w:p>
                  <w:pPr>
                    <w:pStyle w:val="Compact"/>
                    <w:jc w:val="center"/>
                    <w:jc w:val="center"/>
                  </w:pPr>
                  <w:r>
                    <w:t xml:space="preserve">Eficiência</w:t>
                  </w:r>
                </w:p>
              </w:tc>
              <w:tc>
                <w:tcPr/>
                <w:p>
                  <w:pPr>
                    <w:pStyle w:val="Compact"/>
                    <w:jc w:val="center"/>
                    <w:jc w:val="center"/>
                  </w:pPr>
                  <w:r>
                    <w:t xml:space="preserve">KPI 19</w:t>
                  </w:r>
                </w:p>
              </w:tc>
              <w:tc>
                <w:tcPr/>
                <w:p>
                  <w:pPr>
                    <w:pStyle w:val="Compact"/>
                    <w:jc w:val="center"/>
                    <w:jc w:val="center"/>
                  </w:pPr>
                  <w:r>
                    <w:t xml:space="preserve">Nivelamento em descida</w:t>
                  </w:r>
                </w:p>
              </w:tc>
              <w:tc>
                <w:tcPr/>
                <w:p>
                  <w:pPr>
                    <w:pStyle w:val="Compact"/>
                    <w:jc w:val="center"/>
                    <w:jc w:val="center"/>
                  </w:pPr>
                  <w:r>
                    <w:t xml:space="preserve">Monitorar</w:t>
                  </w:r>
                </w:p>
              </w:tc>
              <w:tc>
                <w:tcPr/>
                <w:p>
                  <w:pPr>
                    <w:pStyle w:val="Compact"/>
                    <w:jc w:val="center"/>
                    <w:jc w:val="center"/>
                  </w:pPr>
                  <w:r>
                    <w:t xml:space="preserve">CGNA</w:t>
                  </w:r>
                </w:p>
              </w:tc>
            </w:tr>
            <w:tr>
              <w:tc>
                <w:tcPr/>
                <w:p>
                  <w:pPr>
                    <w:pStyle w:val="Compact"/>
                    <w:jc w:val="center"/>
                    <w:jc w:val="center"/>
                  </w:pPr>
                  <w:r>
                    <w:t xml:space="preserve">Capacidade</w:t>
                  </w:r>
                </w:p>
              </w:tc>
              <w:tc>
                <w:tcPr/>
                <w:p>
                  <w:pPr>
                    <w:pStyle w:val="Compact"/>
                    <w:jc w:val="center"/>
                    <w:jc w:val="center"/>
                  </w:pPr>
                  <w:r>
                    <w:t xml:space="preserve">KPI 06</w:t>
                  </w:r>
                </w:p>
              </w:tc>
              <w:tc>
                <w:tcPr/>
                <w:p>
                  <w:pPr>
                    <w:pStyle w:val="Compact"/>
                    <w:jc w:val="center"/>
                    <w:jc w:val="center"/>
                  </w:pPr>
                  <w:r>
                    <w:t xml:space="preserve">Capacidade do espaço aéreo</w:t>
                  </w:r>
                </w:p>
              </w:tc>
              <w:tc>
                <w:tcPr/>
                <w:p>
                  <w:pPr>
                    <w:pStyle w:val="Compact"/>
                    <w:jc w:val="center"/>
                    <w:jc w:val="center"/>
                  </w:pPr>
                  <w:r>
                    <w:t xml:space="preserve">Monitorar</w:t>
                  </w:r>
                </w:p>
              </w:tc>
              <w:tc>
                <w:tcPr/>
                <w:p>
                  <w:pPr>
                    <w:pStyle w:val="Compact"/>
                    <w:jc w:val="center"/>
                    <w:jc w:val="center"/>
                  </w:pPr>
                  <w:r>
                    <w:t xml:space="preserve">CGNA</w:t>
                  </w:r>
                </w:p>
              </w:tc>
            </w:tr>
            <w:tr>
              <w:tc>
                <w:tcPr/>
                <w:p>
                  <w:pPr>
                    <w:pStyle w:val="Compact"/>
                    <w:jc w:val="center"/>
                    <w:jc w:val="center"/>
                  </w:pPr>
                  <w:r>
                    <w:t xml:space="preserve">Capacidade</w:t>
                  </w:r>
                </w:p>
              </w:tc>
              <w:tc>
                <w:tcPr/>
                <w:p>
                  <w:pPr>
                    <w:pStyle w:val="Compact"/>
                    <w:jc w:val="center"/>
                    <w:jc w:val="center"/>
                  </w:pPr>
                  <w:r>
                    <w:t xml:space="preserve">KPI 09</w:t>
                  </w:r>
                </w:p>
              </w:tc>
              <w:tc>
                <w:tcPr/>
                <w:p>
                  <w:pPr>
                    <w:pStyle w:val="Compact"/>
                    <w:jc w:val="center"/>
                    <w:jc w:val="center"/>
                  </w:pPr>
                  <w:r>
                    <w:t xml:space="preserve">Capacidade declarada</w:t>
                  </w:r>
                </w:p>
              </w:tc>
              <w:tc>
                <w:tcPr/>
                <w:p>
                  <w:pPr>
                    <w:pStyle w:val="Compact"/>
                    <w:jc w:val="center"/>
                    <w:jc w:val="center"/>
                  </w:pPr>
                  <w:r>
                    <w:t xml:space="preserve">Monitorar</w:t>
                  </w:r>
                </w:p>
              </w:tc>
              <w:tc>
                <w:tcPr/>
                <w:p>
                  <w:pPr>
                    <w:pStyle w:val="Compact"/>
                    <w:jc w:val="center"/>
                    <w:jc w:val="center"/>
                  </w:pPr>
                  <w:r>
                    <w:t xml:space="preserve">CGNA</w:t>
                  </w:r>
                </w:p>
              </w:tc>
            </w:tr>
            <w:tr>
              <w:tc>
                <w:tcPr/>
                <w:p>
                  <w:pPr>
                    <w:pStyle w:val="Compact"/>
                    <w:jc w:val="center"/>
                    <w:jc w:val="center"/>
                  </w:pPr>
                  <w:r>
                    <w:t xml:space="preserve">Capacidade</w:t>
                  </w:r>
                </w:p>
              </w:tc>
              <w:tc>
                <w:tcPr/>
                <w:p>
                  <w:pPr>
                    <w:pStyle w:val="Compact"/>
                    <w:jc w:val="center"/>
                    <w:jc w:val="center"/>
                  </w:pPr>
                  <w:r>
                    <w:t xml:space="preserve">KPI 10</w:t>
                  </w:r>
                </w:p>
              </w:tc>
              <w:tc>
                <w:tcPr/>
                <w:p>
                  <w:pPr>
                    <w:pStyle w:val="Compact"/>
                    <w:jc w:val="center"/>
                    <w:jc w:val="center"/>
                  </w:pPr>
                  <w:r>
                    <w:t xml:space="preserve">Taxa pico no aeroporto</w:t>
                  </w:r>
                </w:p>
              </w:tc>
              <w:tc>
                <w:tcPr/>
                <w:p>
                  <w:pPr>
                    <w:pStyle w:val="Compact"/>
                    <w:jc w:val="center"/>
                    <w:jc w:val="center"/>
                  </w:pPr>
                  <w:r>
                    <w:t xml:space="preserve">Monitorar</w:t>
                  </w:r>
                </w:p>
              </w:tc>
              <w:tc>
                <w:tcPr/>
                <w:p>
                  <w:pPr>
                    <w:pStyle w:val="Compact"/>
                    <w:jc w:val="center"/>
                    <w:jc w:val="center"/>
                  </w:pPr>
                  <w:r>
                    <w:t xml:space="preserve">CGNA</w:t>
                  </w:r>
                </w:p>
              </w:tc>
            </w:tr>
            <w:tr>
              <w:tc>
                <w:tcPr/>
                <w:p>
                  <w:pPr>
                    <w:pStyle w:val="Compact"/>
                    <w:jc w:val="center"/>
                    <w:jc w:val="center"/>
                  </w:pPr>
                  <w:r>
                    <w:t xml:space="preserve">Capacidade</w:t>
                  </w:r>
                </w:p>
              </w:tc>
              <w:tc>
                <w:tcPr/>
                <w:p>
                  <w:pPr>
                    <w:pStyle w:val="Compact"/>
                    <w:jc w:val="center"/>
                    <w:jc w:val="center"/>
                  </w:pPr>
                  <w:r>
                    <w:t xml:space="preserve">IDBR 01</w:t>
                  </w:r>
                </w:p>
              </w:tc>
              <w:tc>
                <w:tcPr/>
                <w:p>
                  <w:pPr>
                    <w:pStyle w:val="Compact"/>
                    <w:jc w:val="center"/>
                    <w:jc w:val="center"/>
                  </w:pPr>
                  <w:r>
                    <w:t xml:space="preserve">Relação entre demanda x capacidade de pista</w:t>
                  </w:r>
                </w:p>
              </w:tc>
              <w:tc>
                <w:tcPr/>
                <w:p>
                  <w:pPr>
                    <w:pStyle w:val="Compact"/>
                    <w:jc w:val="center"/>
                    <w:jc w:val="center"/>
                  </w:pPr>
                  <w:r>
                    <w:t xml:space="preserve">Monitorar</w:t>
                  </w:r>
                </w:p>
              </w:tc>
              <w:tc>
                <w:tcPr/>
                <w:p>
                  <w:pPr>
                    <w:pStyle w:val="Compact"/>
                    <w:jc w:val="center"/>
                    <w:jc w:val="center"/>
                  </w:pPr>
                  <w:r>
                    <w:t xml:space="preserve">CGNA</w:t>
                  </w:r>
                </w:p>
              </w:tc>
            </w:tr>
            <w:tr>
              <w:tc>
                <w:tcPr/>
                <w:p>
                  <w:pPr>
                    <w:pStyle w:val="Compact"/>
                    <w:jc w:val="center"/>
                    <w:jc w:val="center"/>
                  </w:pPr>
                  <w:r>
                    <w:t xml:space="preserve">Capacidade</w:t>
                  </w:r>
                </w:p>
              </w:tc>
              <w:tc>
                <w:tcPr/>
                <w:p>
                  <w:pPr>
                    <w:pStyle w:val="Compact"/>
                    <w:jc w:val="center"/>
                    <w:jc w:val="center"/>
                  </w:pPr>
                  <w:r>
                    <w:t xml:space="preserve">IDBR 07</w:t>
                  </w:r>
                </w:p>
              </w:tc>
              <w:tc>
                <w:tcPr/>
                <w:p>
                  <w:pPr>
                    <w:pStyle w:val="Compact"/>
                    <w:jc w:val="center"/>
                    <w:jc w:val="center"/>
                  </w:pPr>
                  <w:r>
                    <w:t xml:space="preserve">Relação entre demanda x capacidade de setor</w:t>
                  </w:r>
                </w:p>
              </w:tc>
              <w:tc>
                <w:tcPr/>
                <w:p>
                  <w:pPr>
                    <w:pStyle w:val="Compact"/>
                    <w:jc w:val="center"/>
                    <w:jc w:val="center"/>
                  </w:pPr>
                  <w:r>
                    <w:t xml:space="preserve">Monitorar</w:t>
                  </w:r>
                </w:p>
              </w:tc>
              <w:tc>
                <w:tcPr/>
                <w:p>
                  <w:pPr>
                    <w:pStyle w:val="Compact"/>
                    <w:jc w:val="center"/>
                    <w:jc w:val="center"/>
                  </w:pPr>
                  <w:r>
                    <w:t xml:space="preserve">CGNA</w:t>
                  </w:r>
                </w:p>
              </w:tc>
            </w:tr>
            <w:tr>
              <w:tc>
                <w:tcPr/>
                <w:p>
                  <w:pPr>
                    <w:pStyle w:val="Compact"/>
                    <w:jc w:val="center"/>
                    <w:jc w:val="center"/>
                  </w:pPr>
                  <w:r>
                    <w:t xml:space="preserve">Custo-Benefício</w:t>
                  </w:r>
                </w:p>
              </w:tc>
              <w:tc>
                <w:tcPr/>
                <w:p>
                  <w:pPr>
                    <w:pStyle w:val="Compact"/>
                    <w:jc w:val="center"/>
                    <w:jc w:val="center"/>
                  </w:pPr>
                  <w:r>
                    <w:t xml:space="preserve">IDBR 06</w:t>
                  </w:r>
                </w:p>
              </w:tc>
              <w:tc>
                <w:tcPr/>
                <w:p>
                  <w:pPr>
                    <w:pStyle w:val="Compact"/>
                    <w:jc w:val="center"/>
                    <w:jc w:val="center"/>
                  </w:pPr>
                  <w:r>
                    <w:t xml:space="preserve">Horas de login x horas ATCO</w:t>
                  </w:r>
                </w:p>
              </w:tc>
              <w:tc>
                <w:tcPr/>
                <w:p>
                  <w:pPr>
                    <w:pStyle w:val="Compact"/>
                    <w:jc w:val="center"/>
                    <w:jc w:val="center"/>
                  </w:pPr>
                  <w:r>
                    <w:t xml:space="preserve">Monitorar</w:t>
                  </w:r>
                </w:p>
              </w:tc>
              <w:tc>
                <w:tcPr/>
                <w:p>
                  <w:pPr>
                    <w:pStyle w:val="Compact"/>
                    <w:jc w:val="center"/>
                    <w:jc w:val="center"/>
                  </w:pPr>
                  <w:r>
                    <w:t xml:space="preserve">CGNA</w:t>
                  </w:r>
                </w:p>
              </w:tc>
            </w:tr>
            <w:tr>
              <w:tc>
                <w:tcPr/>
                <w:p>
                  <w:pPr>
                    <w:pStyle w:val="Compact"/>
                    <w:jc w:val="center"/>
                    <w:jc w:val="center"/>
                  </w:pPr>
                  <w:r>
                    <w:t xml:space="preserve">Custo-Benefício</w:t>
                  </w:r>
                </w:p>
              </w:tc>
              <w:tc>
                <w:tcPr/>
                <w:p>
                  <w:pPr>
                    <w:pStyle w:val="Compact"/>
                    <w:jc w:val="center"/>
                    <w:jc w:val="center"/>
                  </w:pPr>
                  <w:r>
                    <w:t xml:space="preserve">IDBR 08</w:t>
                  </w:r>
                </w:p>
              </w:tc>
              <w:tc>
                <w:tcPr/>
                <w:p>
                  <w:pPr>
                    <w:pStyle w:val="Compact"/>
                    <w:jc w:val="center"/>
                    <w:jc w:val="center"/>
                  </w:pPr>
                  <w:r>
                    <w:t xml:space="preserve">Índice de operacionalidade do ATCO</w:t>
                  </w:r>
                </w:p>
              </w:tc>
              <w:tc>
                <w:tcPr/>
                <w:p>
                  <w:pPr>
                    <w:pStyle w:val="Compact"/>
                    <w:jc w:val="center"/>
                    <w:jc w:val="center"/>
                  </w:pPr>
                  <w:r>
                    <w:t xml:space="preserve">≥ 85%</w:t>
                  </w:r>
                </w:p>
              </w:tc>
              <w:tc>
                <w:tcPr/>
                <w:p>
                  <w:pPr>
                    <w:pStyle w:val="Compact"/>
                    <w:jc w:val="center"/>
                    <w:jc w:val="center"/>
                  </w:pPr>
                  <w:r>
                    <w:t xml:space="preserve">DECEA</w:t>
                  </w:r>
                </w:p>
              </w:tc>
            </w:tr>
            <w:tr>
              <w:tc>
                <w:tcPr/>
                <w:p>
                  <w:pPr>
                    <w:pStyle w:val="Compact"/>
                    <w:jc w:val="center"/>
                    <w:jc w:val="center"/>
                  </w:pPr>
                  <w:r>
                    <w:t xml:space="preserve">Segurança Operacional</w:t>
                  </w:r>
                </w:p>
              </w:tc>
              <w:tc>
                <w:tcPr/>
                <w:p>
                  <w:pPr>
                    <w:pStyle w:val="Compact"/>
                    <w:jc w:val="center"/>
                    <w:jc w:val="center"/>
                  </w:pPr>
                  <w:r>
                    <w:t xml:space="preserve">KPI 20</w:t>
                  </w:r>
                </w:p>
              </w:tc>
              <w:tc>
                <w:tcPr/>
                <w:p>
                  <w:pPr>
                    <w:pStyle w:val="Compact"/>
                    <w:jc w:val="center"/>
                    <w:jc w:val="center"/>
                  </w:pPr>
                  <w:r>
                    <w:t xml:space="preserve">Número de acidentes com aeronaves</w:t>
                  </w:r>
                </w:p>
              </w:tc>
              <w:tc>
                <w:tcPr/>
                <w:p>
                  <w:pPr>
                    <w:pStyle w:val="Compact"/>
                    <w:jc w:val="center"/>
                    <w:jc w:val="center"/>
                  </w:pPr>
                  <w:r>
                    <w:t xml:space="preserve">-</w:t>
                  </w:r>
                </w:p>
              </w:tc>
              <w:tc>
                <w:tcPr/>
                <w:p>
                  <w:pPr>
                    <w:pStyle w:val="Compact"/>
                    <w:jc w:val="center"/>
                    <w:jc w:val="center"/>
                  </w:pPr>
                  <w:r>
                    <w:t xml:space="preserve">CENIPA</w:t>
                  </w:r>
                </w:p>
              </w:tc>
            </w:tr>
            <w:tr>
              <w:tc>
                <w:tcPr/>
                <w:p>
                  <w:pPr>
                    <w:pStyle w:val="Compact"/>
                    <w:jc w:val="center"/>
                    <w:jc w:val="center"/>
                  </w:pPr>
                  <w:r>
                    <w:t xml:space="preserve">Segurança Operacional</w:t>
                  </w:r>
                </w:p>
              </w:tc>
              <w:tc>
                <w:tcPr/>
                <w:p>
                  <w:pPr>
                    <w:pStyle w:val="Compact"/>
                    <w:jc w:val="center"/>
                    <w:jc w:val="center"/>
                  </w:pPr>
                  <w:r>
                    <w:t xml:space="preserve">KPI 21</w:t>
                  </w:r>
                </w:p>
              </w:tc>
              <w:tc>
                <w:tcPr/>
                <w:p>
                  <w:pPr>
                    <w:pStyle w:val="Compact"/>
                    <w:jc w:val="center"/>
                    <w:jc w:val="center"/>
                  </w:pPr>
                  <w:r>
                    <w:t xml:space="preserve">Runway Incursion (RI)</w:t>
                  </w:r>
                </w:p>
              </w:tc>
              <w:tc>
                <w:tcPr/>
                <w:p>
                  <w:pPr>
                    <w:pStyle w:val="Compact"/>
                    <w:jc w:val="center"/>
                    <w:jc w:val="center"/>
                  </w:pPr>
                  <w:r>
                    <w:t xml:space="preserve">Melhoria percentual entre 2% em relação à média obtida nos últimos três anos</w:t>
                  </w:r>
                </w:p>
              </w:tc>
              <w:tc>
                <w:tcPr/>
                <w:p>
                  <w:pPr>
                    <w:pStyle w:val="Compact"/>
                    <w:jc w:val="center"/>
                    <w:jc w:val="center"/>
                  </w:pPr>
                  <w:r>
                    <w:t xml:space="preserve">ASEGCEA</w:t>
                  </w:r>
                </w:p>
              </w:tc>
            </w:tr>
            <w:tr>
              <w:tc>
                <w:tcPr/>
                <w:p>
                  <w:pPr>
                    <w:pStyle w:val="Compact"/>
                    <w:jc w:val="center"/>
                    <w:jc w:val="center"/>
                  </w:pPr>
                  <w:r>
                    <w:t xml:space="preserve">Segurança Operacional</w:t>
                  </w:r>
                </w:p>
              </w:tc>
              <w:tc>
                <w:tcPr/>
                <w:p>
                  <w:pPr>
                    <w:pStyle w:val="Compact"/>
                    <w:jc w:val="center"/>
                    <w:jc w:val="center"/>
                  </w:pPr>
                  <w:r>
                    <w:t xml:space="preserve">KPI 22</w:t>
                  </w:r>
                </w:p>
              </w:tc>
              <w:tc>
                <w:tcPr/>
                <w:p>
                  <w:pPr>
                    <w:pStyle w:val="Compact"/>
                    <w:jc w:val="center"/>
                    <w:jc w:val="center"/>
                  </w:pPr>
                  <w:r>
                    <w:t xml:space="preserve">Número de Runway Excursions (RE)</w:t>
                  </w:r>
                </w:p>
              </w:tc>
              <w:tc>
                <w:tcPr/>
                <w:p>
                  <w:pPr>
                    <w:pStyle w:val="Compact"/>
                    <w:jc w:val="center"/>
                    <w:jc w:val="center"/>
                  </w:pPr>
                  <w:r>
                    <w:t xml:space="preserve">-</w:t>
                  </w:r>
                </w:p>
              </w:tc>
              <w:tc>
                <w:tcPr/>
                <w:p>
                  <w:pPr>
                    <w:pStyle w:val="Compact"/>
                    <w:jc w:val="center"/>
                    <w:jc w:val="center"/>
                  </w:pPr>
                  <w:r>
                    <w:t xml:space="preserve">CENIPA</w:t>
                  </w:r>
                </w:p>
              </w:tc>
            </w:tr>
            <w:tr>
              <w:tc>
                <w:tcPr/>
                <w:p>
                  <w:pPr>
                    <w:pStyle w:val="Compact"/>
                    <w:jc w:val="center"/>
                    <w:jc w:val="center"/>
                  </w:pPr>
                  <w:r>
                    <w:t xml:space="preserve">Segurança Operacional</w:t>
                  </w:r>
                </w:p>
              </w:tc>
              <w:tc>
                <w:tcPr/>
                <w:p>
                  <w:pPr>
                    <w:pStyle w:val="Compact"/>
                    <w:jc w:val="center"/>
                    <w:jc w:val="center"/>
                  </w:pPr>
                  <w:r>
                    <w:t xml:space="preserve">KPI 23</w:t>
                  </w:r>
                </w:p>
              </w:tc>
              <w:tc>
                <w:tcPr/>
                <w:p>
                  <w:pPr>
                    <w:pStyle w:val="Compact"/>
                    <w:jc w:val="center"/>
                    <w:jc w:val="center"/>
                  </w:pPr>
                  <w:r>
                    <w:t xml:space="preserve">Incidente classificado como risco crítico</w:t>
                  </w:r>
                </w:p>
              </w:tc>
              <w:tc>
                <w:tcPr/>
                <w:p>
                  <w:pPr>
                    <w:pStyle w:val="Compact"/>
                    <w:jc w:val="center"/>
                    <w:jc w:val="center"/>
                  </w:pPr>
                  <w:r>
                    <w:t xml:space="preserve">Melhoria percentual entre 2% em relação à média obtida nos últimos três anos</w:t>
                  </w:r>
                </w:p>
              </w:tc>
              <w:tc>
                <w:tcPr/>
                <w:p>
                  <w:pPr>
                    <w:pStyle w:val="Compact"/>
                    <w:jc w:val="center"/>
                    <w:jc w:val="center"/>
                  </w:pPr>
                  <w:r>
                    <w:t xml:space="preserve">ASEGCEA</w:t>
                  </w:r>
                </w:p>
              </w:tc>
            </w:tr>
            <w:tr>
              <w:tc>
                <w:tcPr/>
                <w:p>
                  <w:pPr>
                    <w:pStyle w:val="Compact"/>
                    <w:jc w:val="center"/>
                    <w:jc w:val="center"/>
                  </w:pPr>
                  <w:r>
                    <w:t xml:space="preserve">Segurança Operacional</w:t>
                  </w:r>
                </w:p>
              </w:tc>
              <w:tc>
                <w:tcPr/>
                <w:p>
                  <w:pPr>
                    <w:pStyle w:val="Compact"/>
                    <w:jc w:val="center"/>
                    <w:jc w:val="center"/>
                  </w:pPr>
                  <w:r>
                    <w:t xml:space="preserve">KPI 23</w:t>
                  </w:r>
                </w:p>
              </w:tc>
              <w:tc>
                <w:tcPr/>
                <w:p>
                  <w:pPr>
                    <w:pStyle w:val="Compact"/>
                    <w:jc w:val="center"/>
                    <w:jc w:val="center"/>
                  </w:pPr>
                  <w:r>
                    <w:t xml:space="preserve">Incidente classificado como risco potencial - RICEA Resolution Advisory (RA)</w:t>
                  </w:r>
                </w:p>
              </w:tc>
              <w:tc>
                <w:tcPr/>
                <w:p>
                  <w:pPr>
                    <w:pStyle w:val="Compact"/>
                  </w:pPr>
                </w:p>
              </w:tc>
              <w:tc>
                <w:tcPr/>
                <w:p>
                  <w:pPr>
                    <w:pStyle w:val="Compact"/>
                    <w:jc w:val="center"/>
                    <w:jc w:val="center"/>
                  </w:pPr>
                  <w:r>
                    <w:t xml:space="preserve">ASEGCEA</w:t>
                  </w:r>
                </w:p>
              </w:tc>
            </w:tr>
            <w:tr>
              <w:tc>
                <w:tcPr/>
                <w:p>
                  <w:pPr>
                    <w:pStyle w:val="Compact"/>
                    <w:jc w:val="center"/>
                    <w:jc w:val="center"/>
                  </w:pPr>
                  <w:r>
                    <w:t xml:space="preserve">Participação ATM</w:t>
                  </w:r>
                </w:p>
              </w:tc>
              <w:tc>
                <w:tcPr/>
                <w:p>
                  <w:pPr>
                    <w:pStyle w:val="Compact"/>
                    <w:jc w:val="center"/>
                    <w:jc w:val="center"/>
                  </w:pPr>
                  <w:r>
                    <w:t xml:space="preserve">IDBR 09</w:t>
                  </w:r>
                </w:p>
              </w:tc>
              <w:tc>
                <w:tcPr/>
                <w:p>
                  <w:pPr>
                    <w:pStyle w:val="Compact"/>
                    <w:jc w:val="center"/>
                    <w:jc w:val="center"/>
                  </w:pPr>
                  <w:r>
                    <w:t xml:space="preserve">Grau de satisfação</w:t>
                  </w:r>
                </w:p>
              </w:tc>
              <w:tc>
                <w:tcPr/>
                <w:p>
                  <w:pPr>
                    <w:pStyle w:val="Compact"/>
                    <w:jc w:val="center"/>
                    <w:jc w:val="center"/>
                  </w:pPr>
                  <w:r>
                    <w:t xml:space="preserve">≥ 70%</w:t>
                  </w:r>
                </w:p>
              </w:tc>
              <w:tc>
                <w:tcPr/>
                <w:p>
                  <w:pPr>
                    <w:pStyle w:val="Compact"/>
                    <w:jc w:val="center"/>
                    <w:jc w:val="center"/>
                  </w:pPr>
                  <w:r>
                    <w:t xml:space="preserve">DECEA</w:t>
                  </w:r>
                </w:p>
              </w:tc>
            </w:tr>
            <w:tr>
              <w:tc>
                <w:tcPr/>
                <w:p>
                  <w:pPr>
                    <w:pStyle w:val="Compact"/>
                    <w:jc w:val="center"/>
                    <w:jc w:val="center"/>
                  </w:pPr>
                  <w:r>
                    <w:t xml:space="preserve">Segurança AVSEC</w:t>
                  </w:r>
                </w:p>
              </w:tc>
              <w:tc>
                <w:tcPr/>
                <w:p>
                  <w:pPr>
                    <w:pStyle w:val="Compact"/>
                    <w:jc w:val="center"/>
                    <w:jc w:val="center"/>
                  </w:pPr>
                  <w:r>
                    <w:t xml:space="preserve">NA</w:t>
                  </w:r>
                </w:p>
              </w:tc>
              <w:tc>
                <w:tcPr/>
                <w:p>
                  <w:pPr>
                    <w:pStyle w:val="Compact"/>
                    <w:jc w:val="center"/>
                    <w:jc w:val="center"/>
                  </w:pPr>
                  <w:r>
                    <w:t xml:space="preserve">Número de ocorrências AVSEC</w:t>
                  </w:r>
                </w:p>
              </w:tc>
              <w:tc>
                <w:tcPr/>
                <w:p>
                  <w:pPr>
                    <w:pStyle w:val="Compact"/>
                    <w:jc w:val="center"/>
                    <w:jc w:val="center"/>
                  </w:pPr>
                  <w:r>
                    <w:t xml:space="preserve">Monitorar</w:t>
                  </w:r>
                </w:p>
              </w:tc>
              <w:tc>
                <w:tcPr/>
                <w:p>
                  <w:pPr>
                    <w:pStyle w:val="Compact"/>
                    <w:jc w:val="center"/>
                    <w:jc w:val="center"/>
                  </w:pPr>
                  <w:r>
                    <w:t xml:space="preserve">AVSEC</w:t>
                  </w:r>
                </w:p>
              </w:tc>
            </w:tr>
          </w:tbl>
          <w:bookmarkEnd w:id="182"/>
          <w:p/>
        </w:tc>
      </w:tr>
    </w:tbl>
    <w:p>
      <w:pPr>
        <w:pStyle w:val="Corpodetexto"/>
      </w:pPr>
      <w:r>
        <w:t xml:space="preserve">Este capítulo oferece uma análise detalhada dos indicadores de performance do gerenciamento de tráfego aéreo (ATM) para o ano de 2025. Os dados utilizados neste relatório foram coletados a partir de diferentes fontes, como registros operacionais de voos, relatórios de incidentes e</w:t>
      </w:r>
      <w:r>
        <w:t xml:space="preserve"> </w:t>
      </w:r>
      <w:r>
        <w:rPr>
          <w:i/>
          <w:iCs/>
        </w:rPr>
        <w:t xml:space="preserve">feedback</w:t>
      </w:r>
      <w:r>
        <w:t xml:space="preserve"> </w:t>
      </w:r>
      <w:r>
        <w:t xml:space="preserve">dos usuários. Os indicadores foram analisados em relação aos objetivos estabelecidos, tendências históricas e</w:t>
      </w:r>
      <w:r>
        <w:t xml:space="preserve"> </w:t>
      </w:r>
      <w:r>
        <w:rPr>
          <w:i/>
          <w:iCs/>
        </w:rPr>
        <w:t xml:space="preserve">benchmarks</w:t>
      </w:r>
      <w:r>
        <w:t xml:space="preserve"> </w:t>
      </w:r>
      <w:r>
        <w:t xml:space="preserve">internacionais. As conclusões extraídas oferecem informações valiosas para os gestores, possibilitando a identificação de oportunidades de melhoria e a formulação de estratégias para aprimorar a segurança e a eficiência no gerenciamento do tráfego aéreo no Brasil.</w:t>
      </w:r>
    </w:p>
    <w:bookmarkStart w:id="232" w:name="previsibilidade"/>
    <w:p>
      <w:pPr>
        <w:pStyle w:val="Ttulo2"/>
      </w:pPr>
      <w:r>
        <w:t xml:space="preserve">3.1 PREVISIBILIDADE</w:t>
      </w:r>
    </w:p>
    <w:p>
      <w:pPr>
        <w:pStyle w:val="FirstParagraph"/>
      </w:pPr>
      <w:r>
        <w:t xml:space="preserve">A KPA Previsibilidade tem como objetivo avaliar a capacidade dos usuários do espaço aéreo e dos Prestadores de Serviço de Navegação Aérea (PSNA) em manter níveis consistentes e confiáveis de desempenho. Para isso, são monitorados três indicadores principais: Pontualidade de Partida (KPI 01), Pontualidade de Chegada (KPI 14) e Variabilidade de Tempo de Voo (KPI 15).</w:t>
      </w:r>
    </w:p>
    <w:p>
      <w:pPr>
        <w:pStyle w:val="Corpodetexto"/>
      </w:pPr>
      <w:r>
        <w:t xml:space="preserve">O acompanhamento desses indicadores busca garantir que tanto os usuários do espaço aéreo quanto os PSNA ofereçam um serviço previsível e de alta qualidade para passageiros e operadores aéreos. Dessa forma, o planejamento das operações pode ser mais eficiente, contribuindo para a tomada de decisões estratégicas no dia a dia das operações.</w:t>
      </w:r>
    </w:p>
    <w:bookmarkStart w:id="199" w:name="kpi-01-pontualidade-de-partida"/>
    <w:p>
      <w:pPr>
        <w:pStyle w:val="Ttulo3"/>
      </w:pPr>
      <w:r>
        <w:t xml:space="preserve">3.1.1 KPI 01 – PONTUALIDADE DE PARTIDA</w:t>
      </w:r>
    </w:p>
    <w:p>
      <w:pPr>
        <w:pStyle w:val="FirstParagraph"/>
      </w:pPr>
      <w:r>
        <w:t xml:space="preserve">Este indicador avalia a previsibilidade das operações de decolagem nos aeroportos monitorados, realizando uma comparação entre o</w:t>
      </w:r>
      <w:r>
        <w:t xml:space="preserve"> </w:t>
      </w:r>
      <w:r>
        <w:rPr>
          <w:b/>
          <w:bCs/>
        </w:rPr>
        <w:t xml:space="preserve">horário programado</w:t>
      </w:r>
      <w:r>
        <w:t xml:space="preserve"> </w:t>
      </w:r>
      <w:r>
        <w:t xml:space="preserve">de saída do avião do</w:t>
      </w:r>
      <w:r>
        <w:t xml:space="preserve"> </w:t>
      </w:r>
      <w:r>
        <w:rPr>
          <w:i/>
          <w:iCs/>
        </w:rPr>
        <w:t xml:space="preserve">gate</w:t>
      </w:r>
      <w:r>
        <w:t xml:space="preserve"> </w:t>
      </w:r>
      <w:r>
        <w:t xml:space="preserve">de estacionamento (SOBT) com o horário real de saída (AOBT), considerando uma tolerância de</w:t>
      </w:r>
      <w:r>
        <w:t xml:space="preserve"> </w:t>
      </w:r>
      <w:r>
        <w:rPr>
          <w:b/>
          <w:bCs/>
        </w:rPr>
        <w:t xml:space="preserve">15 minutos</w:t>
      </w:r>
      <w:r>
        <w:t xml:space="preserve"> </w:t>
      </w:r>
      <w:r>
        <w:t xml:space="preserve">de adiantamento ou atraso. A partir dessa relação, é gerado um percentual que mede a performance dos aeroportos em relação à pontualidade de partida.</w:t>
      </w:r>
    </w:p>
    <w:p>
      <w:pPr>
        <w:pStyle w:val="Corpodetexto"/>
      </w:pPr>
      <w:r>
        <w:t xml:space="preserve">Para o cálculo desse indicador, são utilizados o SIROS, da ANAC, para coletar o SOBT, e o TATIC FLOW, para obter o AOBT.</w:t>
      </w:r>
    </w:p>
    <w:p>
      <w:pPr>
        <w:pStyle w:val="Corpodetexto"/>
      </w:pPr>
      <w:r>
        <w:t xml:space="preserve">O monitoramento contínuo da pontualidade permite identificar os fatores que comprometem a previsibilidade, como condições meteorológicas adversas, limitações da infraestrutura aeroportuária, tempo necessário para a preparação da aeronave e embarque dos passageiros, entre outros. Essa análise possibilita a execução de ações voltadas para o aprimoramento do serviço prestado e a melhoria estrutural do sistema aeroportuário.</w:t>
      </w:r>
    </w:p>
    <w:p>
      <w:pPr>
        <w:pStyle w:val="Corpodetexto"/>
      </w:pPr>
      <w:r>
        <w:drawing>
          <wp:inline>
            <wp:extent cx="6642100" cy="2878243"/>
            <wp:effectExtent b="0" l="0" r="0" t="0"/>
            <wp:docPr descr="" title="" id="184" name="Picture"/>
            <a:graphic>
              <a:graphicData uri="http://schemas.openxmlformats.org/drawingml/2006/picture">
                <pic:pic>
                  <pic:nvPicPr>
                    <pic:cNvPr descr="03-Indicadores_files/figure-docx/unnamed-chunk-1-1.png" id="185" name="Picture"/>
                    <pic:cNvPicPr>
                      <a:picLocks noChangeArrowheads="1" noChangeAspect="1"/>
                    </pic:cNvPicPr>
                  </pic:nvPicPr>
                  <pic:blipFill>
                    <a:blip r:embed="rId183"/>
                    <a:stretch>
                      <a:fillRect/>
                    </a:stretch>
                  </pic:blipFill>
                  <pic:spPr bwMode="auto">
                    <a:xfrm>
                      <a:off x="0" y="0"/>
                      <a:ext cx="6642100" cy="2878243"/>
                    </a:xfrm>
                    <a:prstGeom prst="rect">
                      <a:avLst/>
                    </a:prstGeom>
                    <a:noFill/>
                    <a:ln w="9525">
                      <a:noFill/>
                      <a:headEnd/>
                      <a:tailEnd/>
                    </a:ln>
                  </pic:spPr>
                </pic:pic>
              </a:graphicData>
            </a:graphic>
          </wp:inline>
        </w:drawing>
      </w:r>
    </w:p>
    <w:tbl>
      <w:tblPr>
        <w:tblStyle w:val="Table"/>
        <w:tblW w:type="pct" w:w="5000"/>
        <w:tblLayout w:type="fixed"/>
        <w:tblLook w:firstRow="0" w:lastRow="0" w:firstColumn="0" w:lastColumn="0" w:noHBand="0" w:noVBand="0" w:val="0000"/>
      </w:tblPr>
      <w:tblGrid>
        <w:gridCol w:w="7920"/>
      </w:tblGrid>
      <w:tr>
        <w:tc>
          <w:tcPr/>
          <w:bookmarkStart w:id="189" w:name="fig-kpi-01"/>
          <w:p>
            <w:pPr>
              <w:pStyle w:val="Compact"/>
              <w:jc w:val="center"/>
            </w:pPr>
            <w:r>
              <w:drawing>
                <wp:inline>
                  <wp:extent cx="6642100" cy="2878243"/>
                  <wp:effectExtent b="0" l="0" r="0" t="0"/>
                  <wp:docPr descr="" title="" id="187" name="Picture"/>
                  <a:graphic>
                    <a:graphicData uri="http://schemas.openxmlformats.org/drawingml/2006/picture">
                      <pic:pic>
                        <pic:nvPicPr>
                          <pic:cNvPr descr="03-Indicadores_files/figure-docx/fig-kpi-01-1.png" id="188" name="Picture"/>
                          <pic:cNvPicPr>
                            <a:picLocks noChangeArrowheads="1" noChangeAspect="1"/>
                          </pic:cNvPicPr>
                        </pic:nvPicPr>
                        <pic:blipFill>
                          <a:blip r:embed="rId186"/>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3.1: KPI 01 - Pontualidade de Partida</w:t>
            </w:r>
          </w:p>
          <w:bookmarkEnd w:id="189"/>
        </w:tc>
      </w:tr>
    </w:tbl>
    <w:p>
      <w:pPr>
        <w:pStyle w:val="Corpodetexto"/>
      </w:pPr>
      <w:r>
        <w:t xml:space="preserve">A</w:t>
      </w:r>
      <w:r>
        <w:t xml:space="preserve"> </w:t>
      </w:r>
      <w:hyperlink w:anchor="fig-kpi-01">
        <w:r>
          <w:rPr>
            <w:rStyle w:val="Hyperlink"/>
          </w:rPr>
          <w:t xml:space="preserve">Figura 3.1</w:t>
        </w:r>
      </w:hyperlink>
      <w:r>
        <w:t xml:space="preserve"> </w:t>
      </w:r>
      <w:r>
        <w:t xml:space="preserve">apresenta a pontualidade de partida dos quarenta aeroportos monitorados pelo DECEA, separados por Regional, abrangendo resultados mensais dos últimos três anos. Entre os aeroportos analisados, nove destes ficaram abaixo da meta de 80% estipulada pelo PCA 100-3 em 2025:</w:t>
      </w:r>
    </w:p>
    <w:tbl>
      <w:tblPr>
        <w:tblStyle w:val="Table"/>
        <w:tblW w:type="pct" w:w="5000"/>
        <w:tblLayout w:type="fixed"/>
        <w:tblLook w:firstRow="0" w:lastRow="0" w:firstColumn="0" w:lastColumn="0" w:noHBand="0" w:noVBand="0" w:val="0000"/>
      </w:tblPr>
      <w:tblGrid>
        <w:gridCol w:w="7920"/>
      </w:tblGrid>
      <w:tr>
        <w:tc>
          <w:tcPr/>
          <w:bookmarkStart w:id="190" w:name="tbl-kpi01_baixo_meta"/>
          <w:p>
            <w:pPr>
              <w:jc w:val="center"/>
            </w:pPr>
            <w:pPr>
              <w:jc w:val="left"/>
              <w:spacing w:before="200"/>
              <w:pStyle w:val="ImageCaption"/>
            </w:pPr>
            <w:r>
              <w:t xml:space="preserve">Tabela 3.2: Aeroportos com a pontualidade de partida abaixo da meta</w:t>
            </w:r>
          </w:p>
          <w:tbl>
            <w:tblPr>
              <w:tblStyle w:val="Table"/>
              <w:tblW w:type="pct" w:w="5000"/>
              <w:tblLayout w:type="fixed"/>
              <w:tblLook w:firstRow="1" w:lastRow="0" w:firstColumn="0" w:lastColumn="0" w:noHBand="0" w:noVBand="0" w:val="0020"/>
            </w:tblPr>
            <w:tblGrid>
              <w:gridCol w:w="1584"/>
              <w:gridCol w:w="1357"/>
              <w:gridCol w:w="3394"/>
              <w:gridCol w:w="1584"/>
            </w:tblGrid>
            <w:tr>
              <w:trPr>
                <w:tblHeader w:val="on"/>
              </w:trPr>
              <w:tc>
                <w:tcPr/>
                <w:p>
                  <w:pPr>
                    <w:pStyle w:val="Compact"/>
                    <w:jc w:val="center"/>
                    <w:jc w:val="center"/>
                  </w:pPr>
                  <w:r>
                    <w:t xml:space="preserve">REGIONAL</w:t>
                  </w:r>
                </w:p>
              </w:tc>
              <w:tc>
                <w:tcPr/>
                <w:p>
                  <w:pPr>
                    <w:pStyle w:val="Compact"/>
                    <w:jc w:val="center"/>
                    <w:jc w:val="center"/>
                  </w:pPr>
                  <w:r>
                    <w:t xml:space="preserve">INDICATIVO</w:t>
                  </w:r>
                </w:p>
              </w:tc>
              <w:tc>
                <w:tcPr/>
                <w:p>
                  <w:pPr>
                    <w:pStyle w:val="Compact"/>
                    <w:jc w:val="center"/>
                    <w:jc w:val="center"/>
                  </w:pPr>
                  <w:r>
                    <w:t xml:space="preserve">AEROPORTO</w:t>
                  </w:r>
                </w:p>
              </w:tc>
              <w:tc>
                <w:tcPr/>
                <w:p>
                  <w:pPr>
                    <w:pStyle w:val="Compact"/>
                    <w:jc w:val="center"/>
                    <w:jc w:val="center"/>
                  </w:pPr>
                  <w:r>
                    <w:t xml:space="preserve">PONTUALIDADE</w:t>
                  </w:r>
                </w:p>
              </w:tc>
            </w:tr>
            <w:tr>
              <w:tc>
                <w:tcPr/>
                <w:p>
                  <w:pPr>
                    <w:pStyle w:val="Compact"/>
                    <w:jc w:val="center"/>
                    <w:jc w:val="center"/>
                  </w:pPr>
                  <w:r>
                    <w:t xml:space="preserve">CRCEA-SE</w:t>
                  </w:r>
                </w:p>
              </w:tc>
              <w:tc>
                <w:tcPr/>
                <w:p>
                  <w:pPr>
                    <w:pStyle w:val="Compact"/>
                    <w:jc w:val="center"/>
                    <w:jc w:val="center"/>
                  </w:pPr>
                  <w:r>
                    <w:t xml:space="preserve">SBGL</w:t>
                  </w:r>
                </w:p>
              </w:tc>
              <w:tc>
                <w:tcPr/>
                <w:p>
                  <w:pPr>
                    <w:pStyle w:val="Compact"/>
                    <w:jc w:val="center"/>
                    <w:jc w:val="center"/>
                  </w:pPr>
                  <w:r>
                    <w:t xml:space="preserve">Rio de Janeiro (Galeão)</w:t>
                  </w:r>
                </w:p>
              </w:tc>
              <w:tc>
                <w:tcPr/>
                <w:p>
                  <w:pPr>
                    <w:pStyle w:val="Compact"/>
                    <w:jc w:val="center"/>
                    <w:jc w:val="center"/>
                  </w:pPr>
                  <w:r>
                    <w:t xml:space="preserve">73.7</w:t>
                  </w:r>
                </w:p>
              </w:tc>
            </w:tr>
            <w:tr>
              <w:tc>
                <w:tcPr/>
                <w:p>
                  <w:pPr>
                    <w:pStyle w:val="Compact"/>
                    <w:jc w:val="center"/>
                    <w:jc w:val="center"/>
                  </w:pPr>
                  <w:r>
                    <w:t xml:space="preserve">CINDACTA III</w:t>
                  </w:r>
                </w:p>
              </w:tc>
              <w:tc>
                <w:tcPr/>
                <w:p>
                  <w:pPr>
                    <w:pStyle w:val="Compact"/>
                    <w:jc w:val="center"/>
                    <w:jc w:val="center"/>
                  </w:pPr>
                  <w:r>
                    <w:t xml:space="preserve">SBFN</w:t>
                  </w:r>
                </w:p>
              </w:tc>
              <w:tc>
                <w:tcPr/>
                <w:p>
                  <w:pPr>
                    <w:pStyle w:val="Compact"/>
                    <w:jc w:val="center"/>
                    <w:jc w:val="center"/>
                  </w:pPr>
                  <w:r>
                    <w:t xml:space="preserve">Fernando de Noronha</w:t>
                  </w:r>
                </w:p>
              </w:tc>
              <w:tc>
                <w:tcPr/>
                <w:p>
                  <w:pPr>
                    <w:pStyle w:val="Compact"/>
                    <w:jc w:val="center"/>
                    <w:jc w:val="center"/>
                  </w:pPr>
                  <w:r>
                    <w:t xml:space="preserve">73.9</w:t>
                  </w:r>
                </w:p>
              </w:tc>
            </w:tr>
            <w:tr>
              <w:tc>
                <w:tcPr/>
                <w:p>
                  <w:pPr>
                    <w:pStyle w:val="Compact"/>
                    <w:jc w:val="center"/>
                    <w:jc w:val="center"/>
                  </w:pPr>
                  <w:r>
                    <w:t xml:space="preserve">CINDACTA I</w:t>
                  </w:r>
                </w:p>
              </w:tc>
              <w:tc>
                <w:tcPr/>
                <w:p>
                  <w:pPr>
                    <w:pStyle w:val="Compact"/>
                    <w:jc w:val="center"/>
                    <w:jc w:val="center"/>
                  </w:pPr>
                  <w:r>
                    <w:t xml:space="preserve">SBUL</w:t>
                  </w:r>
                </w:p>
              </w:tc>
              <w:tc>
                <w:tcPr/>
                <w:p>
                  <w:pPr>
                    <w:pStyle w:val="Compact"/>
                    <w:jc w:val="center"/>
                    <w:jc w:val="center"/>
                  </w:pPr>
                  <w:r>
                    <w:t xml:space="preserve">Uberlândia</w:t>
                  </w:r>
                </w:p>
              </w:tc>
              <w:tc>
                <w:tcPr/>
                <w:p>
                  <w:pPr>
                    <w:pStyle w:val="Compact"/>
                    <w:jc w:val="center"/>
                    <w:jc w:val="center"/>
                  </w:pPr>
                  <w:r>
                    <w:t xml:space="preserve">74.8</w:t>
                  </w:r>
                </w:p>
              </w:tc>
            </w:tr>
            <w:tr>
              <w:tc>
                <w:tcPr/>
                <w:p>
                  <w:pPr>
                    <w:pStyle w:val="Compact"/>
                    <w:jc w:val="center"/>
                    <w:jc w:val="center"/>
                  </w:pPr>
                  <w:r>
                    <w:t xml:space="preserve">CRCEA-SE</w:t>
                  </w:r>
                </w:p>
              </w:tc>
              <w:tc>
                <w:tcPr/>
                <w:p>
                  <w:pPr>
                    <w:pStyle w:val="Compact"/>
                    <w:jc w:val="center"/>
                    <w:jc w:val="center"/>
                  </w:pPr>
                  <w:r>
                    <w:t xml:space="preserve">SBJR</w:t>
                  </w:r>
                </w:p>
              </w:tc>
              <w:tc>
                <w:tcPr/>
                <w:p>
                  <w:pPr>
                    <w:pStyle w:val="Compact"/>
                    <w:jc w:val="center"/>
                    <w:jc w:val="center"/>
                  </w:pPr>
                  <w:r>
                    <w:t xml:space="preserve">Rio de Janeiro (Jacarepaguá)</w:t>
                  </w:r>
                </w:p>
              </w:tc>
              <w:tc>
                <w:tcPr/>
                <w:p>
                  <w:pPr>
                    <w:pStyle w:val="Compact"/>
                    <w:jc w:val="center"/>
                    <w:jc w:val="center"/>
                  </w:pPr>
                  <w:r>
                    <w:t xml:space="preserve">75.0</w:t>
                  </w:r>
                </w:p>
              </w:tc>
            </w:tr>
            <w:tr>
              <w:tc>
                <w:tcPr/>
                <w:p>
                  <w:pPr>
                    <w:pStyle w:val="Compact"/>
                    <w:jc w:val="center"/>
                    <w:jc w:val="center"/>
                  </w:pPr>
                  <w:r>
                    <w:t xml:space="preserve">CRCEA-SE</w:t>
                  </w:r>
                </w:p>
              </w:tc>
              <w:tc>
                <w:tcPr/>
                <w:p>
                  <w:pPr>
                    <w:pStyle w:val="Compact"/>
                    <w:jc w:val="center"/>
                    <w:jc w:val="center"/>
                  </w:pPr>
                  <w:r>
                    <w:t xml:space="preserve">SBGR</w:t>
                  </w:r>
                </w:p>
              </w:tc>
              <w:tc>
                <w:tcPr/>
                <w:p>
                  <w:pPr>
                    <w:pStyle w:val="Compact"/>
                    <w:jc w:val="center"/>
                    <w:jc w:val="center"/>
                  </w:pPr>
                  <w:r>
                    <w:t xml:space="preserve">São Paulo (Guarulhos)</w:t>
                  </w:r>
                </w:p>
              </w:tc>
              <w:tc>
                <w:tcPr/>
                <w:p>
                  <w:pPr>
                    <w:pStyle w:val="Compact"/>
                    <w:jc w:val="center"/>
                    <w:jc w:val="center"/>
                  </w:pPr>
                  <w:r>
                    <w:t xml:space="preserve">76.1</w:t>
                  </w:r>
                </w:p>
              </w:tc>
            </w:tr>
            <w:tr>
              <w:tc>
                <w:tcPr/>
                <w:p>
                  <w:pPr>
                    <w:pStyle w:val="Compact"/>
                    <w:jc w:val="center"/>
                    <w:jc w:val="center"/>
                  </w:pPr>
                  <w:r>
                    <w:t xml:space="preserve">CINDACTA IV</w:t>
                  </w:r>
                </w:p>
              </w:tc>
              <w:tc>
                <w:tcPr/>
                <w:p>
                  <w:pPr>
                    <w:pStyle w:val="Compact"/>
                    <w:jc w:val="center"/>
                    <w:jc w:val="center"/>
                  </w:pPr>
                  <w:r>
                    <w:t xml:space="preserve">SBEG</w:t>
                  </w:r>
                </w:p>
              </w:tc>
              <w:tc>
                <w:tcPr/>
                <w:p>
                  <w:pPr>
                    <w:pStyle w:val="Compact"/>
                    <w:jc w:val="center"/>
                    <w:jc w:val="center"/>
                  </w:pPr>
                  <w:r>
                    <w:t xml:space="preserve">Manaus</w:t>
                  </w:r>
                </w:p>
              </w:tc>
              <w:tc>
                <w:tcPr/>
                <w:p>
                  <w:pPr>
                    <w:pStyle w:val="Compact"/>
                    <w:jc w:val="center"/>
                    <w:jc w:val="center"/>
                  </w:pPr>
                  <w:r>
                    <w:t xml:space="preserve">76.8</w:t>
                  </w:r>
                </w:p>
              </w:tc>
            </w:tr>
            <w:tr>
              <w:tc>
                <w:tcPr/>
                <w:p>
                  <w:pPr>
                    <w:pStyle w:val="Compact"/>
                    <w:jc w:val="center"/>
                    <w:jc w:val="center"/>
                  </w:pPr>
                  <w:r>
                    <w:t xml:space="preserve">CINDACTA IV</w:t>
                  </w:r>
                </w:p>
              </w:tc>
              <w:tc>
                <w:tcPr/>
                <w:p>
                  <w:pPr>
                    <w:pStyle w:val="Compact"/>
                    <w:jc w:val="center"/>
                    <w:jc w:val="center"/>
                  </w:pPr>
                  <w:r>
                    <w:t xml:space="preserve">SBPV</w:t>
                  </w:r>
                </w:p>
              </w:tc>
              <w:tc>
                <w:tcPr/>
                <w:p>
                  <w:pPr>
                    <w:pStyle w:val="Compact"/>
                    <w:jc w:val="center"/>
                    <w:jc w:val="center"/>
                  </w:pPr>
                  <w:r>
                    <w:t xml:space="preserve">Porto Velho</w:t>
                  </w:r>
                </w:p>
              </w:tc>
              <w:tc>
                <w:tcPr/>
                <w:p>
                  <w:pPr>
                    <w:pStyle w:val="Compact"/>
                    <w:jc w:val="center"/>
                    <w:jc w:val="center"/>
                  </w:pPr>
                  <w:r>
                    <w:t xml:space="preserve">76.9</w:t>
                  </w:r>
                </w:p>
              </w:tc>
            </w:tr>
            <w:tr>
              <w:tc>
                <w:tcPr/>
                <w:p>
                  <w:pPr>
                    <w:pStyle w:val="Compact"/>
                    <w:jc w:val="center"/>
                    <w:jc w:val="center"/>
                  </w:pPr>
                  <w:r>
                    <w:t xml:space="preserve">CINDACTA I</w:t>
                  </w:r>
                </w:p>
              </w:tc>
              <w:tc>
                <w:tcPr/>
                <w:p>
                  <w:pPr>
                    <w:pStyle w:val="Compact"/>
                    <w:jc w:val="center"/>
                    <w:jc w:val="center"/>
                  </w:pPr>
                  <w:r>
                    <w:t xml:space="preserve">SBRP</w:t>
                  </w:r>
                </w:p>
              </w:tc>
              <w:tc>
                <w:tcPr/>
                <w:p>
                  <w:pPr>
                    <w:pStyle w:val="Compact"/>
                    <w:jc w:val="center"/>
                    <w:jc w:val="center"/>
                  </w:pPr>
                  <w:r>
                    <w:t xml:space="preserve">Ribeirão Preto</w:t>
                  </w:r>
                </w:p>
              </w:tc>
              <w:tc>
                <w:tcPr/>
                <w:p>
                  <w:pPr>
                    <w:pStyle w:val="Compact"/>
                    <w:jc w:val="center"/>
                    <w:jc w:val="center"/>
                  </w:pPr>
                  <w:r>
                    <w:t xml:space="preserve">79.0</w:t>
                  </w:r>
                </w:p>
              </w:tc>
            </w:tr>
            <w:tr>
              <w:tc>
                <w:tcPr/>
                <w:p>
                  <w:pPr>
                    <w:pStyle w:val="Compact"/>
                    <w:jc w:val="center"/>
                    <w:jc w:val="center"/>
                  </w:pPr>
                  <w:r>
                    <w:t xml:space="preserve">CINDACTA III</w:t>
                  </w:r>
                </w:p>
              </w:tc>
              <w:tc>
                <w:tcPr/>
                <w:p>
                  <w:pPr>
                    <w:pStyle w:val="Compact"/>
                    <w:jc w:val="center"/>
                    <w:jc w:val="center"/>
                  </w:pPr>
                  <w:r>
                    <w:t xml:space="preserve">SBPS</w:t>
                  </w:r>
                </w:p>
              </w:tc>
              <w:tc>
                <w:tcPr/>
                <w:p>
                  <w:pPr>
                    <w:pStyle w:val="Compact"/>
                    <w:jc w:val="center"/>
                    <w:jc w:val="center"/>
                  </w:pPr>
                  <w:r>
                    <w:t xml:space="preserve">Porto Seguro</w:t>
                  </w:r>
                </w:p>
              </w:tc>
              <w:tc>
                <w:tcPr/>
                <w:p>
                  <w:pPr>
                    <w:pStyle w:val="Compact"/>
                    <w:jc w:val="center"/>
                    <w:jc w:val="center"/>
                  </w:pPr>
                  <w:r>
                    <w:t xml:space="preserve">79.6</w:t>
                  </w:r>
                </w:p>
              </w:tc>
            </w:tr>
          </w:tbl>
          <w:bookmarkEnd w:id="190"/>
          <w:p/>
        </w:tc>
      </w:tr>
    </w:tbl>
    <w:p>
      <w:pPr>
        <w:pStyle w:val="Corpodetexto"/>
      </w:pPr>
      <w:r>
        <w:t xml:space="preserve">Entre os destaques positivos, o Aeroporto Santos Dumont (SBRJ) apresentou pontualidade de partida de 89,4% em 2025, índice superior aos anos anteriores (87,7% em 2024 e 80,4% em 2023). Vale ressaltar que, a partir de 2024, observou-se uma redução significativa no número de movimentos no aeroporto, com parte da demanda sendo realocada para o Galeão (SBGL), o que pode ter contribuído para a melhoria do indicador. Nesse contexto, o Aeroporto do Galeão também apresentou desempenho positivo, alcançando pontualidade de 73,7% em 2025.</w:t>
      </w:r>
    </w:p>
    <w:p>
      <w:pPr>
        <w:pStyle w:val="Corpodetexto"/>
      </w:pPr>
      <w:r>
        <w:t xml:space="preserve">Congonhas (SBSP), por sua vez, registrou índice de pontualidade de 82,8% em 2025, superior aos 77,4% observados em 2024. Destaca-se, como possível fator contribuinte, a redução da oferta de</w:t>
      </w:r>
      <w:r>
        <w:t xml:space="preserve"> </w:t>
      </w:r>
      <w:r>
        <w:rPr>
          <w:i/>
          <w:iCs/>
        </w:rPr>
        <w:t xml:space="preserve">slots</w:t>
      </w:r>
      <w:r>
        <w:t xml:space="preserve"> </w:t>
      </w:r>
      <w:r>
        <w:t xml:space="preserve">para a aviação geral a partir de janeiro de 2025. O Aeroporto de Brasília (SBBR) apresentou a melhor taxa de pontualidade de partida entre os aeródromos de maior movimento, com 88,5%. Já o Aeroporto de Joinville (SBJV) destacou-se pela maior variação positiva no período, alcançando 85,3% em 2025, com crescimento de 6,1 pontos percentuais.</w:t>
      </w:r>
    </w:p>
    <w:p>
      <w:pPr>
        <w:pStyle w:val="Corpodetexto"/>
      </w:pPr>
      <w:r>
        <w:t xml:space="preserve">Por outro lado, Fernando de Noronha (SBFN) apresentou a maior redução na pontualidade de partida, com queda de 5,3 pontos percentuais, seguido pelo Aeroporto de Uberlândia (SBUL), que registrou recuo de 4,7 pontos percentuais, permanecendo abaixo da meta de 80% estabelecida no PCA 100-3.</w:t>
      </w:r>
    </w:p>
    <w:tbl>
      <w:tblPr>
        <w:tblStyle w:val="Table"/>
        <w:tblW w:type="pct" w:w="5000"/>
        <w:tblLayout w:type="fixed"/>
        <w:tblLook w:firstRow="0" w:lastRow="0" w:firstColumn="0" w:lastColumn="0" w:noHBand="0" w:noVBand="0" w:val="0000"/>
      </w:tblPr>
      <w:tblGrid>
        <w:gridCol w:w="7920"/>
      </w:tblGrid>
      <w:tr>
        <w:tc>
          <w:tcPr/>
          <w:bookmarkStart w:id="194" w:name="fig-pontualidade-regional"/>
          <w:p>
            <w:pPr>
              <w:pStyle w:val="Compact"/>
              <w:jc w:val="center"/>
            </w:pPr>
            <w:r>
              <w:drawing>
                <wp:inline>
                  <wp:extent cx="5977890" cy="2590419"/>
                  <wp:effectExtent b="0" l="0" r="0" t="0"/>
                  <wp:docPr descr="" title="" id="192" name="Picture"/>
                  <a:graphic>
                    <a:graphicData uri="http://schemas.openxmlformats.org/drawingml/2006/picture">
                      <pic:pic>
                        <pic:nvPicPr>
                          <pic:cNvPr descr="03-Indicadores_files/figure-docx/fig-pontualidade-regional-1.png" id="193" name="Picture"/>
                          <pic:cNvPicPr>
                            <a:picLocks noChangeArrowheads="1" noChangeAspect="1"/>
                          </pic:cNvPicPr>
                        </pic:nvPicPr>
                        <pic:blipFill>
                          <a:blip r:embed="rId191"/>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3.2: KPI 01 - Pontualidade de Partida por Regional</w:t>
            </w:r>
          </w:p>
          <w:bookmarkEnd w:id="194"/>
        </w:tc>
      </w:tr>
    </w:tbl>
    <w:p>
      <w:pPr>
        <w:pStyle w:val="Corpodetexto"/>
      </w:pPr>
      <w:r>
        <w:t xml:space="preserve">A</w:t>
      </w:r>
      <w:r>
        <w:t xml:space="preserve"> </w:t>
      </w:r>
      <w:hyperlink w:anchor="fig-pontualidade-regional">
        <w:r>
          <w:rPr>
            <w:rStyle w:val="Hyperlink"/>
          </w:rPr>
          <w:t xml:space="preserve">Figura 3.2</w:t>
        </w:r>
      </w:hyperlink>
      <w:r>
        <w:t xml:space="preserve"> </w:t>
      </w:r>
      <w:r>
        <w:t xml:space="preserve">demonstra a pontualidade de partida no SISCEAB e por Regional, comparando os últimos três anos e suas respectivas variações. Em 2025, a pontualidade de partida no SISCEAB manteve-se na média de 81,9%, aumento de 1,3 pontos percentuais com relação a 2024. Todos os Regionais permaneceram acima da meta, exceto o CRCEA-SE, que aumentou 1,5 pontos percentuais e ficou próximo com 79,4%, que contém cinco dos aeroportos mais movimentados do país.</w:t>
      </w:r>
    </w:p>
    <w:p>
      <w:pPr>
        <w:pStyle w:val="Corpodetexto"/>
      </w:pPr>
      <w:r>
        <w:t xml:space="preserve">A</w:t>
      </w:r>
      <w:r>
        <w:t xml:space="preserve"> </w:t>
      </w:r>
      <w:hyperlink w:anchor="fig-kpi01-faixa">
        <w:r>
          <w:rPr>
            <w:rStyle w:val="Hyperlink"/>
          </w:rPr>
          <w:t xml:space="preserve">Figura 3.3</w:t>
        </w:r>
      </w:hyperlink>
      <w:r>
        <w:t xml:space="preserve"> </w:t>
      </w:r>
      <w:r>
        <w:t xml:space="preserve">apresenta a distribuição dos voos no ano de 2025 em relação aos parâmetros do indicador, classificando-os conforme sua pontualidade. Os voos pontuais em até 5 minutos são representados ao centro (âmbar), enquanto os adiantados aparecem à esquerda, divididos entre até 15 minutos (azul claro) e mais de 15 minutos (azul escuro). Já os atrasados estão à direita, sendo até 15 minutos (laranja) e acima desse limite (vermelho). Dessa forma, considerando o parâmetro de 15 minutos, os voos dos grupos âmbar, azul claro e laranja são classificados como pontuais, enquanto os pertencentes aos grupos azul escuro e vermelho são considerados não pontuais.</w:t>
      </w:r>
    </w:p>
    <w:tbl>
      <w:tblPr>
        <w:tblStyle w:val="Table"/>
        <w:tblW w:type="pct" w:w="5000"/>
        <w:tblLayout w:type="fixed"/>
        <w:tblLook w:firstRow="0" w:lastRow="0" w:firstColumn="0" w:lastColumn="0" w:noHBand="0" w:noVBand="0" w:val="0000"/>
      </w:tblPr>
      <w:tblGrid>
        <w:gridCol w:w="7920"/>
      </w:tblGrid>
      <w:tr>
        <w:tc>
          <w:tcPr/>
          <w:bookmarkStart w:id="198" w:name="fig-kpi01-faixa"/>
          <w:p>
            <w:pPr>
              <w:pStyle w:val="Compact"/>
              <w:jc w:val="center"/>
            </w:pPr>
            <w:r>
              <w:drawing>
                <wp:inline>
                  <wp:extent cx="5977890" cy="7970520"/>
                  <wp:effectExtent b="0" l="0" r="0" t="0"/>
                  <wp:docPr descr="" title="" id="196" name="Picture"/>
                  <a:graphic>
                    <a:graphicData uri="http://schemas.openxmlformats.org/drawingml/2006/picture">
                      <pic:pic>
                        <pic:nvPicPr>
                          <pic:cNvPr descr="03-Indicadores_files/figure-docx/fig-kpi01-faixa-1.png" id="197" name="Picture"/>
                          <pic:cNvPicPr>
                            <a:picLocks noChangeArrowheads="1" noChangeAspect="1"/>
                          </pic:cNvPicPr>
                        </pic:nvPicPr>
                        <pic:blipFill>
                          <a:blip r:embed="rId195"/>
                          <a:stretch>
                            <a:fillRect/>
                          </a:stretch>
                        </pic:blipFill>
                        <pic:spPr bwMode="auto">
                          <a:xfrm>
                            <a:off x="0" y="0"/>
                            <a:ext cx="5977890" cy="7970520"/>
                          </a:xfrm>
                          <a:prstGeom prst="rect">
                            <a:avLst/>
                          </a:prstGeom>
                          <a:noFill/>
                          <a:ln w="9525">
                            <a:noFill/>
                            <a:headEnd/>
                            <a:tailEnd/>
                          </a:ln>
                        </pic:spPr>
                      </pic:pic>
                    </a:graphicData>
                  </a:graphic>
                </wp:inline>
              </w:drawing>
            </w:r>
          </w:p>
          <w:p>
            <w:pPr>
              <w:jc w:val="center"/>
            </w:pPr>
            <w:pPr>
              <w:jc w:val="left"/>
              <w:spacing w:before="200"/>
              <w:pStyle w:val="ImageCaption"/>
            </w:pPr>
            <w:r>
              <w:t xml:space="preserve">Figura 3.3: KPI 01 - Pontualidade de Partida por Faixa de Variação</w:t>
            </w:r>
          </w:p>
          <w:bookmarkEnd w:id="198"/>
        </w:tc>
      </w:tr>
    </w:tbl>
    <w:p>
      <w:pPr>
        <w:pStyle w:val="Corpodetexto"/>
      </w:pPr>
      <w:r>
        <w:t xml:space="preserve">Conforme ilustrado na</w:t>
      </w:r>
      <w:r>
        <w:t xml:space="preserve"> </w:t>
      </w:r>
      <w:hyperlink w:anchor="fig-kpi01-faixa">
        <w:r>
          <w:rPr>
            <w:rStyle w:val="Hyperlink"/>
          </w:rPr>
          <w:t xml:space="preserve">Figura 3.3</w:t>
        </w:r>
      </w:hyperlink>
      <w:r>
        <w:t xml:space="preserve">, destaca-se o Aeroporto Santos Dumont (SBRJ), onde 45% das decolagens registraram adiantamentos entre 5 e 15 minutos. Em contrapartida, o Aeroporto do Galeão (SBGL) apresentou um dos desempenhos mais desfavoráveis em termos de atrasos, com 26% dos voos operando com atrasos superiores a 15 minutos.</w:t>
      </w:r>
    </w:p>
    <w:p>
      <w:pPr>
        <w:pStyle w:val="Corpodetexto"/>
      </w:pPr>
      <w:r>
        <w:t xml:space="preserve">Ressalta-se que os valores de pontualidade observados para o Aeroporto do Galeão podem apresentar variações em função de possíveis imprecisões nos dados registrados no sistema TATIC FLOW, associadas ao processo de alimentação das informações em ambiente com Apron Control.</w:t>
      </w:r>
    </w:p>
    <w:p>
      <w:pPr>
        <w:pStyle w:val="Corpodetexto"/>
      </w:pPr>
      <w:r>
        <w:t xml:space="preserve">Cabe destacar que os aeroportos Santos Dumont e Galeão possuem operações interdependentes e passaram por mudanças operacionais relevantes nos últimos dois anos, o que pode contribuir para as discrepâncias observadas nos indicadores. De forma geral, durante o período de verão, esses índices tendem a ser influenciados pelo aumento da demanda e por fatores meteorológicos, especialmente na Região Sudeste, que concentra parcela significativa do tráfego aéreo nacional. Condições como pancadas de chuva no período da tarde, rajadas de vento e ocorrência de</w:t>
      </w:r>
      <w:r>
        <w:t xml:space="preserve"> </w:t>
      </w:r>
      <w:r>
        <w:rPr>
          <w:i/>
          <w:iCs/>
        </w:rPr>
        <w:t xml:space="preserve">windshear</w:t>
      </w:r>
      <w:r>
        <w:t xml:space="preserve"> </w:t>
      </w:r>
      <w:r>
        <w:t xml:space="preserve">podem impactar a regularidade das operações, elevando o tempo de ocupação de pista e exigindo alterações frequentes na configuração operacional.</w:t>
      </w:r>
    </w:p>
    <w:bookmarkEnd w:id="199"/>
    <w:bookmarkStart w:id="216" w:name="kpi-14-pontualidade-de-chegada"/>
    <w:p>
      <w:pPr>
        <w:pStyle w:val="Ttulo3"/>
      </w:pPr>
      <w:r>
        <w:t xml:space="preserve">3.1.2 KPI 14 – PONTUALIDADE DE CHEGADA</w:t>
      </w:r>
    </w:p>
    <w:p>
      <w:pPr>
        <w:pStyle w:val="FirstParagraph"/>
      </w:pPr>
      <w:r>
        <w:t xml:space="preserve">O KPI 14 avalia a previsibilidade das operações de pouso nos aeroportos, tomando como referência o horário programado de estacionamento da aeronave (SIBT) e considerando um intervalo de 15 minutos para adiantamentos ou atrasos. Esse indicador expressa a porcentagem de voos que chegam ao respectivo portão dentro da margem de tolerância estabelecida. Para o cálculo desse indicador, são utilizados o SIROS, da ANAC, para coletar o SIBT, e o TATIC FLOW, para obter o AIBT.</w:t>
      </w:r>
    </w:p>
    <w:p>
      <w:pPr>
        <w:pStyle w:val="Corpodetexto"/>
      </w:pPr>
      <w:r>
        <w:drawing>
          <wp:inline>
            <wp:extent cx="6642100" cy="2878243"/>
            <wp:effectExtent b="0" l="0" r="0" t="0"/>
            <wp:docPr descr="" title="" id="201" name="Picture"/>
            <a:graphic>
              <a:graphicData uri="http://schemas.openxmlformats.org/drawingml/2006/picture">
                <pic:pic>
                  <pic:nvPicPr>
                    <pic:cNvPr descr="03-Indicadores_files/figure-docx/unnamed-chunk-2-1.png" id="202" name="Picture"/>
                    <pic:cNvPicPr>
                      <a:picLocks noChangeArrowheads="1" noChangeAspect="1"/>
                    </pic:cNvPicPr>
                  </pic:nvPicPr>
                  <pic:blipFill>
                    <a:blip r:embed="rId200"/>
                    <a:stretch>
                      <a:fillRect/>
                    </a:stretch>
                  </pic:blipFill>
                  <pic:spPr bwMode="auto">
                    <a:xfrm>
                      <a:off x="0" y="0"/>
                      <a:ext cx="6642100" cy="2878243"/>
                    </a:xfrm>
                    <a:prstGeom prst="rect">
                      <a:avLst/>
                    </a:prstGeom>
                    <a:noFill/>
                    <a:ln w="9525">
                      <a:noFill/>
                      <a:headEnd/>
                      <a:tailEnd/>
                    </a:ln>
                  </pic:spPr>
                </pic:pic>
              </a:graphicData>
            </a:graphic>
          </wp:inline>
        </w:drawing>
      </w:r>
    </w:p>
    <w:tbl>
      <w:tblPr>
        <w:tblStyle w:val="Table"/>
        <w:tblW w:type="pct" w:w="5000"/>
        <w:tblLayout w:type="fixed"/>
        <w:tblLook w:firstRow="0" w:lastRow="0" w:firstColumn="0" w:lastColumn="0" w:noHBand="0" w:noVBand="0" w:val="0000"/>
      </w:tblPr>
      <w:tblGrid>
        <w:gridCol w:w="7920"/>
      </w:tblGrid>
      <w:tr>
        <w:tc>
          <w:tcPr/>
          <w:bookmarkStart w:id="206" w:name="fig-kpi-14"/>
          <w:p>
            <w:pPr>
              <w:pStyle w:val="Compact"/>
              <w:jc w:val="center"/>
            </w:pPr>
            <w:r>
              <w:drawing>
                <wp:inline>
                  <wp:extent cx="6642100" cy="2878243"/>
                  <wp:effectExtent b="0" l="0" r="0" t="0"/>
                  <wp:docPr descr="" title="" id="204" name="Picture"/>
                  <a:graphic>
                    <a:graphicData uri="http://schemas.openxmlformats.org/drawingml/2006/picture">
                      <pic:pic>
                        <pic:nvPicPr>
                          <pic:cNvPr descr="03-Indicadores_files/figure-docx/fig-kpi-14-1.png" id="205" name="Picture"/>
                          <pic:cNvPicPr>
                            <a:picLocks noChangeArrowheads="1" noChangeAspect="1"/>
                          </pic:cNvPicPr>
                        </pic:nvPicPr>
                        <pic:blipFill>
                          <a:blip r:embed="rId203"/>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3.4: KPI 14 - Pontualidade de Chegada</w:t>
            </w:r>
          </w:p>
          <w:bookmarkEnd w:id="206"/>
        </w:tc>
      </w:tr>
    </w:tbl>
    <w:p>
      <w:pPr>
        <w:pStyle w:val="Corpodetexto"/>
      </w:pPr>
      <w:r>
        <w:t xml:space="preserve">A</w:t>
      </w:r>
      <w:r>
        <w:t xml:space="preserve"> </w:t>
      </w:r>
      <w:hyperlink w:anchor="fig-kpi-14">
        <w:r>
          <w:rPr>
            <w:rStyle w:val="Hyperlink"/>
          </w:rPr>
          <w:t xml:space="preserve">Figura 3.4</w:t>
        </w:r>
      </w:hyperlink>
      <w:r>
        <w:t xml:space="preserve"> </w:t>
      </w:r>
      <w:r>
        <w:t xml:space="preserve">demonstra a pontualidade de chegada dos quarenta aeroportos monitorados pelo DECEA por Regional, comparando os últimos três anos. Observa-se que, em 2025, pouco mais da metade dos aeroportos apresentaram índices de pontualidade de chegada inferiores à meta de 70% estipulada pelo PCA 100-3. Mais precisamente, foram vinte e sete os aeroportos, três a mais que o ano passado, que ficaram abaixo da meta:</w:t>
      </w:r>
    </w:p>
    <w:tbl>
      <w:tblPr>
        <w:tblStyle w:val="Table"/>
        <w:tblW w:type="pct" w:w="5000"/>
        <w:tblLayout w:type="fixed"/>
        <w:tblLook w:firstRow="0" w:lastRow="0" w:firstColumn="0" w:lastColumn="0" w:noHBand="0" w:noVBand="0" w:val="0000"/>
      </w:tblPr>
      <w:tblGrid>
        <w:gridCol w:w="7920"/>
      </w:tblGrid>
      <w:tr>
        <w:tc>
          <w:tcPr/>
          <w:bookmarkStart w:id="207" w:name="tbl-kpi14-abaixo-meta"/>
          <w:p>
            <w:pPr>
              <w:jc w:val="center"/>
            </w:pPr>
            <w:pPr>
              <w:jc w:val="left"/>
              <w:spacing w:before="200"/>
              <w:pStyle w:val="ImageCaption"/>
            </w:pPr>
            <w:r>
              <w:t xml:space="preserve">Tabela 3.3: Aeroportos com a pontualidade de chegada abaixo da meta</w:t>
            </w:r>
          </w:p>
          <w:tbl>
            <w:tblPr>
              <w:tblStyle w:val="Table"/>
              <w:tblW w:type="pct" w:w="5000"/>
              <w:tblLayout w:type="fixed"/>
              <w:tblLook w:firstRow="1" w:lastRow="0" w:firstColumn="0" w:lastColumn="0" w:noHBand="0" w:noVBand="0" w:val="0020"/>
            </w:tblPr>
            <w:tblGrid>
              <w:gridCol w:w="1421"/>
              <w:gridCol w:w="1218"/>
              <w:gridCol w:w="3350"/>
              <w:gridCol w:w="1929"/>
            </w:tblGrid>
            <w:tr>
              <w:trPr>
                <w:tblHeader w:val="on"/>
              </w:trPr>
              <w:tc>
                <w:tcPr/>
                <w:p>
                  <w:pPr>
                    <w:pStyle w:val="Compact"/>
                    <w:jc w:val="center"/>
                    <w:jc w:val="center"/>
                  </w:pPr>
                  <w:r>
                    <w:t xml:space="preserve">REGIONAL</w:t>
                  </w:r>
                </w:p>
              </w:tc>
              <w:tc>
                <w:tcPr/>
                <w:p>
                  <w:pPr>
                    <w:pStyle w:val="Compact"/>
                    <w:jc w:val="center"/>
                    <w:jc w:val="center"/>
                  </w:pPr>
                  <w:r>
                    <w:t xml:space="preserve">INDICATIVO</w:t>
                  </w:r>
                </w:p>
              </w:tc>
              <w:tc>
                <w:tcPr/>
                <w:p>
                  <w:pPr>
                    <w:pStyle w:val="Compact"/>
                    <w:jc w:val="center"/>
                    <w:jc w:val="center"/>
                  </w:pPr>
                  <w:r>
                    <w:t xml:space="preserve">AEROPORTO</w:t>
                  </w:r>
                </w:p>
              </w:tc>
              <w:tc>
                <w:tcPr/>
                <w:p>
                  <w:pPr>
                    <w:pStyle w:val="Compact"/>
                    <w:jc w:val="center"/>
                    <w:jc w:val="center"/>
                  </w:pPr>
                  <w:r>
                    <w:t xml:space="preserve">PONTUALIDADE 2025</w:t>
                  </w:r>
                </w:p>
              </w:tc>
            </w:tr>
            <w:tr>
              <w:tc>
                <w:tcPr/>
                <w:p>
                  <w:pPr>
                    <w:pStyle w:val="Compact"/>
                    <w:jc w:val="center"/>
                    <w:jc w:val="center"/>
                  </w:pPr>
                  <w:r>
                    <w:t xml:space="preserve">CRCEA-SE</w:t>
                  </w:r>
                </w:p>
              </w:tc>
              <w:tc>
                <w:tcPr/>
                <w:p>
                  <w:pPr>
                    <w:pStyle w:val="Compact"/>
                    <w:jc w:val="center"/>
                    <w:jc w:val="center"/>
                  </w:pPr>
                  <w:r>
                    <w:t xml:space="preserve">SBKP</w:t>
                  </w:r>
                </w:p>
              </w:tc>
              <w:tc>
                <w:tcPr/>
                <w:p>
                  <w:pPr>
                    <w:pStyle w:val="Compact"/>
                    <w:jc w:val="center"/>
                    <w:jc w:val="center"/>
                  </w:pPr>
                  <w:r>
                    <w:t xml:space="preserve">Campinas (Viracopos)</w:t>
                  </w:r>
                </w:p>
              </w:tc>
              <w:tc>
                <w:tcPr/>
                <w:p>
                  <w:pPr>
                    <w:pStyle w:val="Compact"/>
                    <w:jc w:val="center"/>
                    <w:jc w:val="center"/>
                  </w:pPr>
                  <w:r>
                    <w:t xml:space="preserve">55.9</w:t>
                  </w:r>
                </w:p>
              </w:tc>
            </w:tr>
            <w:tr>
              <w:tc>
                <w:tcPr/>
                <w:p>
                  <w:pPr>
                    <w:pStyle w:val="Compact"/>
                    <w:jc w:val="center"/>
                    <w:jc w:val="center"/>
                  </w:pPr>
                  <w:r>
                    <w:t xml:space="preserve">CINDACTA III</w:t>
                  </w:r>
                </w:p>
              </w:tc>
              <w:tc>
                <w:tcPr/>
                <w:p>
                  <w:pPr>
                    <w:pStyle w:val="Compact"/>
                    <w:jc w:val="center"/>
                    <w:jc w:val="center"/>
                  </w:pPr>
                  <w:r>
                    <w:t xml:space="preserve">SBPS</w:t>
                  </w:r>
                </w:p>
              </w:tc>
              <w:tc>
                <w:tcPr/>
                <w:p>
                  <w:pPr>
                    <w:pStyle w:val="Compact"/>
                    <w:jc w:val="center"/>
                    <w:jc w:val="center"/>
                  </w:pPr>
                  <w:r>
                    <w:t xml:space="preserve">Porto Seguro</w:t>
                  </w:r>
                </w:p>
              </w:tc>
              <w:tc>
                <w:tcPr/>
                <w:p>
                  <w:pPr>
                    <w:pStyle w:val="Compact"/>
                    <w:jc w:val="center"/>
                    <w:jc w:val="center"/>
                  </w:pPr>
                  <w:r>
                    <w:t xml:space="preserve">58.1</w:t>
                  </w:r>
                </w:p>
              </w:tc>
            </w:tr>
            <w:tr>
              <w:tc>
                <w:tcPr/>
                <w:p>
                  <w:pPr>
                    <w:pStyle w:val="Compact"/>
                    <w:jc w:val="center"/>
                    <w:jc w:val="center"/>
                  </w:pPr>
                  <w:r>
                    <w:t xml:space="preserve">CRCEA-SE</w:t>
                  </w:r>
                </w:p>
              </w:tc>
              <w:tc>
                <w:tcPr/>
                <w:p>
                  <w:pPr>
                    <w:pStyle w:val="Compact"/>
                    <w:jc w:val="center"/>
                    <w:jc w:val="center"/>
                  </w:pPr>
                  <w:r>
                    <w:t xml:space="preserve">SBGR</w:t>
                  </w:r>
                </w:p>
              </w:tc>
              <w:tc>
                <w:tcPr/>
                <w:p>
                  <w:pPr>
                    <w:pStyle w:val="Compact"/>
                    <w:jc w:val="center"/>
                    <w:jc w:val="center"/>
                  </w:pPr>
                  <w:r>
                    <w:t xml:space="preserve">São Paulo (Guarulhos)</w:t>
                  </w:r>
                </w:p>
              </w:tc>
              <w:tc>
                <w:tcPr/>
                <w:p>
                  <w:pPr>
                    <w:pStyle w:val="Compact"/>
                    <w:jc w:val="center"/>
                    <w:jc w:val="center"/>
                  </w:pPr>
                  <w:r>
                    <w:t xml:space="preserve">58.8</w:t>
                  </w:r>
                </w:p>
              </w:tc>
            </w:tr>
            <w:tr>
              <w:tc>
                <w:tcPr/>
                <w:p>
                  <w:pPr>
                    <w:pStyle w:val="Compact"/>
                    <w:jc w:val="center"/>
                    <w:jc w:val="center"/>
                  </w:pPr>
                  <w:r>
                    <w:t xml:space="preserve">CRCEA-SE</w:t>
                  </w:r>
                </w:p>
              </w:tc>
              <w:tc>
                <w:tcPr/>
                <w:p>
                  <w:pPr>
                    <w:pStyle w:val="Compact"/>
                    <w:jc w:val="center"/>
                    <w:jc w:val="center"/>
                  </w:pPr>
                  <w:r>
                    <w:t xml:space="preserve">SBGL</w:t>
                  </w:r>
                </w:p>
              </w:tc>
              <w:tc>
                <w:tcPr/>
                <w:p>
                  <w:pPr>
                    <w:pStyle w:val="Compact"/>
                    <w:jc w:val="center"/>
                    <w:jc w:val="center"/>
                  </w:pPr>
                  <w:r>
                    <w:t xml:space="preserve">Rio de Janeiro (Galeão)</w:t>
                  </w:r>
                </w:p>
              </w:tc>
              <w:tc>
                <w:tcPr/>
                <w:p>
                  <w:pPr>
                    <w:pStyle w:val="Compact"/>
                    <w:jc w:val="center"/>
                    <w:jc w:val="center"/>
                  </w:pPr>
                  <w:r>
                    <w:t xml:space="preserve">59.5</w:t>
                  </w:r>
                </w:p>
              </w:tc>
            </w:tr>
            <w:tr>
              <w:tc>
                <w:tcPr/>
                <w:p>
                  <w:pPr>
                    <w:pStyle w:val="Compact"/>
                    <w:jc w:val="center"/>
                    <w:jc w:val="center"/>
                  </w:pPr>
                  <w:r>
                    <w:t xml:space="preserve">CINDACTA III</w:t>
                  </w:r>
                </w:p>
              </w:tc>
              <w:tc>
                <w:tcPr/>
                <w:p>
                  <w:pPr>
                    <w:pStyle w:val="Compact"/>
                    <w:jc w:val="center"/>
                    <w:jc w:val="center"/>
                  </w:pPr>
                  <w:r>
                    <w:t xml:space="preserve">SBSV</w:t>
                  </w:r>
                </w:p>
              </w:tc>
              <w:tc>
                <w:tcPr/>
                <w:p>
                  <w:pPr>
                    <w:pStyle w:val="Compact"/>
                    <w:jc w:val="center"/>
                    <w:jc w:val="center"/>
                  </w:pPr>
                  <w:r>
                    <w:t xml:space="preserve">Salvador</w:t>
                  </w:r>
                </w:p>
              </w:tc>
              <w:tc>
                <w:tcPr/>
                <w:p>
                  <w:pPr>
                    <w:pStyle w:val="Compact"/>
                    <w:jc w:val="center"/>
                    <w:jc w:val="center"/>
                  </w:pPr>
                  <w:r>
                    <w:t xml:space="preserve">59.8</w:t>
                  </w:r>
                </w:p>
              </w:tc>
            </w:tr>
            <w:tr>
              <w:tc>
                <w:tcPr/>
                <w:p>
                  <w:pPr>
                    <w:pStyle w:val="Compact"/>
                    <w:jc w:val="center"/>
                    <w:jc w:val="center"/>
                  </w:pPr>
                  <w:r>
                    <w:t xml:space="preserve">CRCEA-SE</w:t>
                  </w:r>
                </w:p>
              </w:tc>
              <w:tc>
                <w:tcPr/>
                <w:p>
                  <w:pPr>
                    <w:pStyle w:val="Compact"/>
                    <w:jc w:val="center"/>
                    <w:jc w:val="center"/>
                  </w:pPr>
                  <w:r>
                    <w:t xml:space="preserve">SBSP</w:t>
                  </w:r>
                </w:p>
              </w:tc>
              <w:tc>
                <w:tcPr/>
                <w:p>
                  <w:pPr>
                    <w:pStyle w:val="Compact"/>
                    <w:jc w:val="center"/>
                    <w:jc w:val="center"/>
                  </w:pPr>
                  <w:r>
                    <w:t xml:space="preserve">São Paulo (Congonhas)</w:t>
                  </w:r>
                </w:p>
              </w:tc>
              <w:tc>
                <w:tcPr/>
                <w:p>
                  <w:pPr>
                    <w:pStyle w:val="Compact"/>
                    <w:jc w:val="center"/>
                    <w:jc w:val="center"/>
                  </w:pPr>
                  <w:r>
                    <w:t xml:space="preserve">59.9</w:t>
                  </w:r>
                </w:p>
              </w:tc>
            </w:tr>
            <w:tr>
              <w:tc>
                <w:tcPr/>
                <w:p>
                  <w:pPr>
                    <w:pStyle w:val="Compact"/>
                    <w:jc w:val="center"/>
                    <w:jc w:val="center"/>
                  </w:pPr>
                  <w:r>
                    <w:t xml:space="preserve">CINDACTA IV</w:t>
                  </w:r>
                </w:p>
              </w:tc>
              <w:tc>
                <w:tcPr/>
                <w:p>
                  <w:pPr>
                    <w:pStyle w:val="Compact"/>
                    <w:jc w:val="center"/>
                    <w:jc w:val="center"/>
                  </w:pPr>
                  <w:r>
                    <w:t xml:space="preserve">SBEG</w:t>
                  </w:r>
                </w:p>
              </w:tc>
              <w:tc>
                <w:tcPr/>
                <w:p>
                  <w:pPr>
                    <w:pStyle w:val="Compact"/>
                    <w:jc w:val="center"/>
                    <w:jc w:val="center"/>
                  </w:pPr>
                  <w:r>
                    <w:t xml:space="preserve">Manaus</w:t>
                  </w:r>
                </w:p>
              </w:tc>
              <w:tc>
                <w:tcPr/>
                <w:p>
                  <w:pPr>
                    <w:pStyle w:val="Compact"/>
                    <w:jc w:val="center"/>
                    <w:jc w:val="center"/>
                  </w:pPr>
                  <w:r>
                    <w:t xml:space="preserve">61.0</w:t>
                  </w:r>
                </w:p>
              </w:tc>
            </w:tr>
            <w:tr>
              <w:tc>
                <w:tcPr/>
                <w:p>
                  <w:pPr>
                    <w:pStyle w:val="Compact"/>
                    <w:jc w:val="center"/>
                    <w:jc w:val="center"/>
                  </w:pPr>
                  <w:r>
                    <w:t xml:space="preserve">CINDACTA III</w:t>
                  </w:r>
                </w:p>
              </w:tc>
              <w:tc>
                <w:tcPr/>
                <w:p>
                  <w:pPr>
                    <w:pStyle w:val="Compact"/>
                    <w:jc w:val="center"/>
                    <w:jc w:val="center"/>
                  </w:pPr>
                  <w:r>
                    <w:t xml:space="preserve">SBFN</w:t>
                  </w:r>
                </w:p>
              </w:tc>
              <w:tc>
                <w:tcPr/>
                <w:p>
                  <w:pPr>
                    <w:pStyle w:val="Compact"/>
                    <w:jc w:val="center"/>
                    <w:jc w:val="center"/>
                  </w:pPr>
                  <w:r>
                    <w:t xml:space="preserve">Fernando de Noronha</w:t>
                  </w:r>
                </w:p>
              </w:tc>
              <w:tc>
                <w:tcPr/>
                <w:p>
                  <w:pPr>
                    <w:pStyle w:val="Compact"/>
                    <w:jc w:val="center"/>
                    <w:jc w:val="center"/>
                  </w:pPr>
                  <w:r>
                    <w:t xml:space="preserve">61.1</w:t>
                  </w:r>
                </w:p>
              </w:tc>
            </w:tr>
            <w:tr>
              <w:tc>
                <w:tcPr/>
                <w:p>
                  <w:pPr>
                    <w:pStyle w:val="Compact"/>
                    <w:jc w:val="center"/>
                    <w:jc w:val="center"/>
                  </w:pPr>
                  <w:r>
                    <w:t xml:space="preserve">CINDACTA I</w:t>
                  </w:r>
                </w:p>
              </w:tc>
              <w:tc>
                <w:tcPr/>
                <w:p>
                  <w:pPr>
                    <w:pStyle w:val="Compact"/>
                    <w:jc w:val="center"/>
                    <w:jc w:val="center"/>
                  </w:pPr>
                  <w:r>
                    <w:t xml:space="preserve">SBCY</w:t>
                  </w:r>
                </w:p>
              </w:tc>
              <w:tc>
                <w:tcPr/>
                <w:p>
                  <w:pPr>
                    <w:pStyle w:val="Compact"/>
                    <w:jc w:val="center"/>
                    <w:jc w:val="center"/>
                  </w:pPr>
                  <w:r>
                    <w:t xml:space="preserve">Cuiabá</w:t>
                  </w:r>
                </w:p>
              </w:tc>
              <w:tc>
                <w:tcPr/>
                <w:p>
                  <w:pPr>
                    <w:pStyle w:val="Compact"/>
                    <w:jc w:val="center"/>
                    <w:jc w:val="center"/>
                  </w:pPr>
                  <w:r>
                    <w:t xml:space="preserve">62.9</w:t>
                  </w:r>
                </w:p>
              </w:tc>
            </w:tr>
            <w:tr>
              <w:tc>
                <w:tcPr/>
                <w:p>
                  <w:pPr>
                    <w:pStyle w:val="Compact"/>
                    <w:jc w:val="center"/>
                    <w:jc w:val="center"/>
                  </w:pPr>
                  <w:r>
                    <w:t xml:space="preserve">CINDACTA I</w:t>
                  </w:r>
                </w:p>
              </w:tc>
              <w:tc>
                <w:tcPr/>
                <w:p>
                  <w:pPr>
                    <w:pStyle w:val="Compact"/>
                    <w:jc w:val="center"/>
                    <w:jc w:val="center"/>
                  </w:pPr>
                  <w:r>
                    <w:t xml:space="preserve">SBCF</w:t>
                  </w:r>
                </w:p>
              </w:tc>
              <w:tc>
                <w:tcPr/>
                <w:p>
                  <w:pPr>
                    <w:pStyle w:val="Compact"/>
                    <w:jc w:val="center"/>
                    <w:jc w:val="center"/>
                  </w:pPr>
                  <w:r>
                    <w:t xml:space="preserve">Belo Horizonte (Confins)</w:t>
                  </w:r>
                </w:p>
              </w:tc>
              <w:tc>
                <w:tcPr/>
                <w:p>
                  <w:pPr>
                    <w:pStyle w:val="Compact"/>
                    <w:jc w:val="center"/>
                    <w:jc w:val="center"/>
                  </w:pPr>
                  <w:r>
                    <w:t xml:space="preserve">63.2</w:t>
                  </w:r>
                </w:p>
              </w:tc>
            </w:tr>
            <w:tr>
              <w:tc>
                <w:tcPr/>
                <w:p>
                  <w:pPr>
                    <w:pStyle w:val="Compact"/>
                    <w:jc w:val="center"/>
                    <w:jc w:val="center"/>
                  </w:pPr>
                  <w:r>
                    <w:t xml:space="preserve">CRCEA-SE</w:t>
                  </w:r>
                </w:p>
              </w:tc>
              <w:tc>
                <w:tcPr/>
                <w:p>
                  <w:pPr>
                    <w:pStyle w:val="Compact"/>
                    <w:jc w:val="center"/>
                    <w:jc w:val="center"/>
                  </w:pPr>
                  <w:r>
                    <w:t xml:space="preserve">SBJR</w:t>
                  </w:r>
                </w:p>
              </w:tc>
              <w:tc>
                <w:tcPr/>
                <w:p>
                  <w:pPr>
                    <w:pStyle w:val="Compact"/>
                    <w:jc w:val="center"/>
                    <w:jc w:val="center"/>
                  </w:pPr>
                  <w:r>
                    <w:t xml:space="preserve">Rio de Janeiro (Jacarepaguá)</w:t>
                  </w:r>
                </w:p>
              </w:tc>
              <w:tc>
                <w:tcPr/>
                <w:p>
                  <w:pPr>
                    <w:pStyle w:val="Compact"/>
                    <w:jc w:val="center"/>
                    <w:jc w:val="center"/>
                  </w:pPr>
                  <w:r>
                    <w:t xml:space="preserve">63.6</w:t>
                  </w:r>
                </w:p>
              </w:tc>
            </w:tr>
            <w:tr>
              <w:tc>
                <w:tcPr/>
                <w:p>
                  <w:pPr>
                    <w:pStyle w:val="Compact"/>
                    <w:jc w:val="center"/>
                    <w:jc w:val="center"/>
                  </w:pPr>
                  <w:r>
                    <w:t xml:space="preserve">CINDACTA I</w:t>
                  </w:r>
                </w:p>
              </w:tc>
              <w:tc>
                <w:tcPr/>
                <w:p>
                  <w:pPr>
                    <w:pStyle w:val="Compact"/>
                    <w:jc w:val="center"/>
                    <w:jc w:val="center"/>
                  </w:pPr>
                  <w:r>
                    <w:t xml:space="preserve">SBBR</w:t>
                  </w:r>
                </w:p>
              </w:tc>
              <w:tc>
                <w:tcPr/>
                <w:p>
                  <w:pPr>
                    <w:pStyle w:val="Compact"/>
                    <w:jc w:val="center"/>
                    <w:jc w:val="center"/>
                  </w:pPr>
                  <w:r>
                    <w:t xml:space="preserve">Brasília</w:t>
                  </w:r>
                </w:p>
              </w:tc>
              <w:tc>
                <w:tcPr/>
                <w:p>
                  <w:pPr>
                    <w:pStyle w:val="Compact"/>
                    <w:jc w:val="center"/>
                    <w:jc w:val="center"/>
                  </w:pPr>
                  <w:r>
                    <w:t xml:space="preserve">64.2</w:t>
                  </w:r>
                </w:p>
              </w:tc>
            </w:tr>
            <w:tr>
              <w:tc>
                <w:tcPr/>
                <w:p>
                  <w:pPr>
                    <w:pStyle w:val="Compact"/>
                    <w:jc w:val="center"/>
                    <w:jc w:val="center"/>
                  </w:pPr>
                  <w:r>
                    <w:t xml:space="preserve">CINDACTA II</w:t>
                  </w:r>
                </w:p>
              </w:tc>
              <w:tc>
                <w:tcPr/>
                <w:p>
                  <w:pPr>
                    <w:pStyle w:val="Compact"/>
                    <w:jc w:val="center"/>
                    <w:jc w:val="center"/>
                  </w:pPr>
                  <w:r>
                    <w:t xml:space="preserve">SBCT</w:t>
                  </w:r>
                </w:p>
              </w:tc>
              <w:tc>
                <w:tcPr/>
                <w:p>
                  <w:pPr>
                    <w:pStyle w:val="Compact"/>
                    <w:jc w:val="center"/>
                    <w:jc w:val="center"/>
                  </w:pPr>
                  <w:r>
                    <w:t xml:space="preserve">Curitiba (Afonso Pena)</w:t>
                  </w:r>
                </w:p>
              </w:tc>
              <w:tc>
                <w:tcPr/>
                <w:p>
                  <w:pPr>
                    <w:pStyle w:val="Compact"/>
                    <w:jc w:val="center"/>
                    <w:jc w:val="center"/>
                  </w:pPr>
                  <w:r>
                    <w:t xml:space="preserve">64.4</w:t>
                  </w:r>
                </w:p>
              </w:tc>
            </w:tr>
            <w:tr>
              <w:tc>
                <w:tcPr/>
                <w:p>
                  <w:pPr>
                    <w:pStyle w:val="Compact"/>
                    <w:jc w:val="center"/>
                    <w:jc w:val="center"/>
                  </w:pPr>
                  <w:r>
                    <w:t xml:space="preserve">CINDACTA II</w:t>
                  </w:r>
                </w:p>
              </w:tc>
              <w:tc>
                <w:tcPr/>
                <w:p>
                  <w:pPr>
                    <w:pStyle w:val="Compact"/>
                    <w:jc w:val="center"/>
                    <w:jc w:val="center"/>
                  </w:pPr>
                  <w:r>
                    <w:t xml:space="preserve">SBPA</w:t>
                  </w:r>
                </w:p>
              </w:tc>
              <w:tc>
                <w:tcPr/>
                <w:p>
                  <w:pPr>
                    <w:pStyle w:val="Compact"/>
                    <w:jc w:val="center"/>
                    <w:jc w:val="center"/>
                  </w:pPr>
                  <w:r>
                    <w:t xml:space="preserve">Porto Alegre</w:t>
                  </w:r>
                </w:p>
              </w:tc>
              <w:tc>
                <w:tcPr/>
                <w:p>
                  <w:pPr>
                    <w:pStyle w:val="Compact"/>
                    <w:jc w:val="center"/>
                    <w:jc w:val="center"/>
                  </w:pPr>
                  <w:r>
                    <w:t xml:space="preserve">65.1</w:t>
                  </w:r>
                </w:p>
              </w:tc>
            </w:tr>
            <w:tr>
              <w:tc>
                <w:tcPr/>
                <w:p>
                  <w:pPr>
                    <w:pStyle w:val="Compact"/>
                    <w:jc w:val="center"/>
                    <w:jc w:val="center"/>
                  </w:pPr>
                  <w:r>
                    <w:t xml:space="preserve">CINDACTA III</w:t>
                  </w:r>
                </w:p>
              </w:tc>
              <w:tc>
                <w:tcPr/>
                <w:p>
                  <w:pPr>
                    <w:pStyle w:val="Compact"/>
                    <w:jc w:val="center"/>
                    <w:jc w:val="center"/>
                  </w:pPr>
                  <w:r>
                    <w:t xml:space="preserve">SBRF</w:t>
                  </w:r>
                </w:p>
              </w:tc>
              <w:tc>
                <w:tcPr/>
                <w:p>
                  <w:pPr>
                    <w:pStyle w:val="Compact"/>
                    <w:jc w:val="center"/>
                    <w:jc w:val="center"/>
                  </w:pPr>
                  <w:r>
                    <w:t xml:space="preserve">Recife</w:t>
                  </w:r>
                </w:p>
              </w:tc>
              <w:tc>
                <w:tcPr/>
                <w:p>
                  <w:pPr>
                    <w:pStyle w:val="Compact"/>
                    <w:jc w:val="center"/>
                    <w:jc w:val="center"/>
                  </w:pPr>
                  <w:r>
                    <w:t xml:space="preserve">65.9</w:t>
                  </w:r>
                </w:p>
              </w:tc>
            </w:tr>
            <w:tr>
              <w:tc>
                <w:tcPr/>
                <w:p>
                  <w:pPr>
                    <w:pStyle w:val="Compact"/>
                    <w:jc w:val="center"/>
                    <w:jc w:val="center"/>
                  </w:pPr>
                  <w:r>
                    <w:t xml:space="preserve">CINDACTA II</w:t>
                  </w:r>
                </w:p>
              </w:tc>
              <w:tc>
                <w:tcPr/>
                <w:p>
                  <w:pPr>
                    <w:pStyle w:val="Compact"/>
                    <w:jc w:val="center"/>
                    <w:jc w:val="center"/>
                  </w:pPr>
                  <w:r>
                    <w:t xml:space="preserve">SBFL</w:t>
                  </w:r>
                </w:p>
              </w:tc>
              <w:tc>
                <w:tcPr/>
                <w:p>
                  <w:pPr>
                    <w:pStyle w:val="Compact"/>
                    <w:jc w:val="center"/>
                    <w:jc w:val="center"/>
                  </w:pPr>
                  <w:r>
                    <w:t xml:space="preserve">Florianópolis</w:t>
                  </w:r>
                </w:p>
              </w:tc>
              <w:tc>
                <w:tcPr/>
                <w:p>
                  <w:pPr>
                    <w:pStyle w:val="Compact"/>
                    <w:jc w:val="center"/>
                    <w:jc w:val="center"/>
                  </w:pPr>
                  <w:r>
                    <w:t xml:space="preserve">66.4</w:t>
                  </w:r>
                </w:p>
              </w:tc>
            </w:tr>
            <w:tr>
              <w:tc>
                <w:tcPr/>
                <w:p>
                  <w:pPr>
                    <w:pStyle w:val="Compact"/>
                    <w:jc w:val="center"/>
                    <w:jc w:val="center"/>
                  </w:pPr>
                  <w:r>
                    <w:t xml:space="preserve">CINDACTA III</w:t>
                  </w:r>
                </w:p>
              </w:tc>
              <w:tc>
                <w:tcPr/>
                <w:p>
                  <w:pPr>
                    <w:pStyle w:val="Compact"/>
                    <w:jc w:val="center"/>
                    <w:jc w:val="center"/>
                  </w:pPr>
                  <w:r>
                    <w:t xml:space="preserve">SBFZ</w:t>
                  </w:r>
                </w:p>
              </w:tc>
              <w:tc>
                <w:tcPr/>
                <w:p>
                  <w:pPr>
                    <w:pStyle w:val="Compact"/>
                    <w:jc w:val="center"/>
                    <w:jc w:val="center"/>
                  </w:pPr>
                  <w:r>
                    <w:t xml:space="preserve">Fortaleza</w:t>
                  </w:r>
                </w:p>
              </w:tc>
              <w:tc>
                <w:tcPr/>
                <w:p>
                  <w:pPr>
                    <w:pStyle w:val="Compact"/>
                    <w:jc w:val="center"/>
                    <w:jc w:val="center"/>
                  </w:pPr>
                  <w:r>
                    <w:t xml:space="preserve">66.8</w:t>
                  </w:r>
                </w:p>
              </w:tc>
            </w:tr>
            <w:tr>
              <w:tc>
                <w:tcPr/>
                <w:p>
                  <w:pPr>
                    <w:pStyle w:val="Compact"/>
                    <w:jc w:val="center"/>
                    <w:jc w:val="center"/>
                  </w:pPr>
                  <w:r>
                    <w:t xml:space="preserve">CINDACTA III</w:t>
                  </w:r>
                </w:p>
              </w:tc>
              <w:tc>
                <w:tcPr/>
                <w:p>
                  <w:pPr>
                    <w:pStyle w:val="Compact"/>
                    <w:jc w:val="center"/>
                    <w:jc w:val="center"/>
                  </w:pPr>
                  <w:r>
                    <w:t xml:space="preserve">SBJP</w:t>
                  </w:r>
                </w:p>
              </w:tc>
              <w:tc>
                <w:tcPr/>
                <w:p>
                  <w:pPr>
                    <w:pStyle w:val="Compact"/>
                    <w:jc w:val="center"/>
                    <w:jc w:val="center"/>
                  </w:pPr>
                  <w:r>
                    <w:t xml:space="preserve">João Pessoa</w:t>
                  </w:r>
                </w:p>
              </w:tc>
              <w:tc>
                <w:tcPr/>
                <w:p>
                  <w:pPr>
                    <w:pStyle w:val="Compact"/>
                    <w:jc w:val="center"/>
                    <w:jc w:val="center"/>
                  </w:pPr>
                  <w:r>
                    <w:t xml:space="preserve">66.8</w:t>
                  </w:r>
                </w:p>
              </w:tc>
            </w:tr>
            <w:tr>
              <w:tc>
                <w:tcPr/>
                <w:p>
                  <w:pPr>
                    <w:pStyle w:val="Compact"/>
                    <w:jc w:val="center"/>
                    <w:jc w:val="center"/>
                  </w:pPr>
                  <w:r>
                    <w:t xml:space="preserve">CINDACTA IV</w:t>
                  </w:r>
                </w:p>
              </w:tc>
              <w:tc>
                <w:tcPr/>
                <w:p>
                  <w:pPr>
                    <w:pStyle w:val="Compact"/>
                    <w:jc w:val="center"/>
                    <w:jc w:val="center"/>
                  </w:pPr>
                  <w:r>
                    <w:t xml:space="preserve">SBBE</w:t>
                  </w:r>
                </w:p>
              </w:tc>
              <w:tc>
                <w:tcPr/>
                <w:p>
                  <w:pPr>
                    <w:pStyle w:val="Compact"/>
                    <w:jc w:val="center"/>
                    <w:jc w:val="center"/>
                  </w:pPr>
                  <w:r>
                    <w:t xml:space="preserve">Belém</w:t>
                  </w:r>
                </w:p>
              </w:tc>
              <w:tc>
                <w:tcPr/>
                <w:p>
                  <w:pPr>
                    <w:pStyle w:val="Compact"/>
                    <w:jc w:val="center"/>
                    <w:jc w:val="center"/>
                  </w:pPr>
                  <w:r>
                    <w:t xml:space="preserve">67.0</w:t>
                  </w:r>
                </w:p>
              </w:tc>
            </w:tr>
            <w:tr>
              <w:tc>
                <w:tcPr/>
                <w:p>
                  <w:pPr>
                    <w:pStyle w:val="Compact"/>
                    <w:jc w:val="center"/>
                    <w:jc w:val="center"/>
                  </w:pPr>
                  <w:r>
                    <w:t xml:space="preserve">CRCEA-SE</w:t>
                  </w:r>
                </w:p>
              </w:tc>
              <w:tc>
                <w:tcPr/>
                <w:p>
                  <w:pPr>
                    <w:pStyle w:val="Compact"/>
                    <w:jc w:val="center"/>
                    <w:jc w:val="center"/>
                  </w:pPr>
                  <w:r>
                    <w:t xml:space="preserve">SBRJ</w:t>
                  </w:r>
                </w:p>
              </w:tc>
              <w:tc>
                <w:tcPr/>
                <w:p>
                  <w:pPr>
                    <w:pStyle w:val="Compact"/>
                    <w:jc w:val="center"/>
                    <w:jc w:val="center"/>
                  </w:pPr>
                  <w:r>
                    <w:t xml:space="preserve">Rio de Janeiro (Santos Dumont)</w:t>
                  </w:r>
                </w:p>
              </w:tc>
              <w:tc>
                <w:tcPr/>
                <w:p>
                  <w:pPr>
                    <w:pStyle w:val="Compact"/>
                    <w:jc w:val="center"/>
                    <w:jc w:val="center"/>
                  </w:pPr>
                  <w:r>
                    <w:t xml:space="preserve">67.0</w:t>
                  </w:r>
                </w:p>
              </w:tc>
            </w:tr>
            <w:tr>
              <w:tc>
                <w:tcPr/>
                <w:p>
                  <w:pPr>
                    <w:pStyle w:val="Compact"/>
                    <w:jc w:val="center"/>
                    <w:jc w:val="center"/>
                  </w:pPr>
                  <w:r>
                    <w:t xml:space="preserve">CINDACTA I</w:t>
                  </w:r>
                </w:p>
              </w:tc>
              <w:tc>
                <w:tcPr/>
                <w:p>
                  <w:pPr>
                    <w:pStyle w:val="Compact"/>
                    <w:jc w:val="center"/>
                    <w:jc w:val="center"/>
                  </w:pPr>
                  <w:r>
                    <w:t xml:space="preserve">SBRP</w:t>
                  </w:r>
                </w:p>
              </w:tc>
              <w:tc>
                <w:tcPr/>
                <w:p>
                  <w:pPr>
                    <w:pStyle w:val="Compact"/>
                    <w:jc w:val="center"/>
                    <w:jc w:val="center"/>
                  </w:pPr>
                  <w:r>
                    <w:t xml:space="preserve">Ribeirão Preto</w:t>
                  </w:r>
                </w:p>
              </w:tc>
              <w:tc>
                <w:tcPr/>
                <w:p>
                  <w:pPr>
                    <w:pStyle w:val="Compact"/>
                    <w:jc w:val="center"/>
                    <w:jc w:val="center"/>
                  </w:pPr>
                  <w:r>
                    <w:t xml:space="preserve">67.1</w:t>
                  </w:r>
                </w:p>
              </w:tc>
            </w:tr>
            <w:tr>
              <w:tc>
                <w:tcPr/>
                <w:p>
                  <w:pPr>
                    <w:pStyle w:val="Compact"/>
                    <w:jc w:val="center"/>
                    <w:jc w:val="center"/>
                  </w:pPr>
                  <w:r>
                    <w:t xml:space="preserve">CINDACTA III</w:t>
                  </w:r>
                </w:p>
              </w:tc>
              <w:tc>
                <w:tcPr/>
                <w:p>
                  <w:pPr>
                    <w:pStyle w:val="Compact"/>
                    <w:jc w:val="center"/>
                    <w:jc w:val="center"/>
                  </w:pPr>
                  <w:r>
                    <w:t xml:space="preserve">SBSG</w:t>
                  </w:r>
                </w:p>
              </w:tc>
              <w:tc>
                <w:tcPr/>
                <w:p>
                  <w:pPr>
                    <w:pStyle w:val="Compact"/>
                    <w:jc w:val="center"/>
                    <w:jc w:val="center"/>
                  </w:pPr>
                  <w:r>
                    <w:t xml:space="preserve">Natal / São Gonçalo do Amarante</w:t>
                  </w:r>
                </w:p>
              </w:tc>
              <w:tc>
                <w:tcPr/>
                <w:p>
                  <w:pPr>
                    <w:pStyle w:val="Compact"/>
                    <w:jc w:val="center"/>
                    <w:jc w:val="center"/>
                  </w:pPr>
                  <w:r>
                    <w:t xml:space="preserve">67.9</w:t>
                  </w:r>
                </w:p>
              </w:tc>
            </w:tr>
            <w:tr>
              <w:tc>
                <w:tcPr/>
                <w:p>
                  <w:pPr>
                    <w:pStyle w:val="Compact"/>
                    <w:jc w:val="center"/>
                    <w:jc w:val="center"/>
                  </w:pPr>
                  <w:r>
                    <w:t xml:space="preserve">CINDACTA III</w:t>
                  </w:r>
                </w:p>
              </w:tc>
              <w:tc>
                <w:tcPr/>
                <w:p>
                  <w:pPr>
                    <w:pStyle w:val="Compact"/>
                    <w:jc w:val="center"/>
                    <w:jc w:val="center"/>
                  </w:pPr>
                  <w:r>
                    <w:t xml:space="preserve">SBMO</w:t>
                  </w:r>
                </w:p>
              </w:tc>
              <w:tc>
                <w:tcPr/>
                <w:p>
                  <w:pPr>
                    <w:pStyle w:val="Compact"/>
                    <w:jc w:val="center"/>
                    <w:jc w:val="center"/>
                  </w:pPr>
                  <w:r>
                    <w:t xml:space="preserve">Maceió</w:t>
                  </w:r>
                </w:p>
              </w:tc>
              <w:tc>
                <w:tcPr/>
                <w:p>
                  <w:pPr>
                    <w:pStyle w:val="Compact"/>
                    <w:jc w:val="center"/>
                    <w:jc w:val="center"/>
                  </w:pPr>
                  <w:r>
                    <w:t xml:space="preserve">68.4</w:t>
                  </w:r>
                </w:p>
              </w:tc>
            </w:tr>
            <w:tr>
              <w:tc>
                <w:tcPr/>
                <w:p>
                  <w:pPr>
                    <w:pStyle w:val="Compact"/>
                    <w:jc w:val="center"/>
                    <w:jc w:val="center"/>
                  </w:pPr>
                  <w:r>
                    <w:t xml:space="preserve">CINDACTA III</w:t>
                  </w:r>
                </w:p>
              </w:tc>
              <w:tc>
                <w:tcPr/>
                <w:p>
                  <w:pPr>
                    <w:pStyle w:val="Compact"/>
                    <w:jc w:val="center"/>
                    <w:jc w:val="center"/>
                  </w:pPr>
                  <w:r>
                    <w:t xml:space="preserve">SBVT</w:t>
                  </w:r>
                </w:p>
              </w:tc>
              <w:tc>
                <w:tcPr/>
                <w:p>
                  <w:pPr>
                    <w:pStyle w:val="Compact"/>
                    <w:jc w:val="center"/>
                    <w:jc w:val="center"/>
                  </w:pPr>
                  <w:r>
                    <w:t xml:space="preserve">Vitória</w:t>
                  </w:r>
                </w:p>
              </w:tc>
              <w:tc>
                <w:tcPr/>
                <w:p>
                  <w:pPr>
                    <w:pStyle w:val="Compact"/>
                    <w:jc w:val="center"/>
                    <w:jc w:val="center"/>
                  </w:pPr>
                  <w:r>
                    <w:t xml:space="preserve">68.5</w:t>
                  </w:r>
                </w:p>
              </w:tc>
            </w:tr>
            <w:tr>
              <w:tc>
                <w:tcPr/>
                <w:p>
                  <w:pPr>
                    <w:pStyle w:val="Compact"/>
                    <w:jc w:val="center"/>
                    <w:jc w:val="center"/>
                  </w:pPr>
                  <w:r>
                    <w:t xml:space="preserve">CINDACTA II</w:t>
                  </w:r>
                </w:p>
              </w:tc>
              <w:tc>
                <w:tcPr/>
                <w:p>
                  <w:pPr>
                    <w:pStyle w:val="Compact"/>
                    <w:jc w:val="center"/>
                    <w:jc w:val="center"/>
                  </w:pPr>
                  <w:r>
                    <w:t xml:space="preserve">SBMG</w:t>
                  </w:r>
                </w:p>
              </w:tc>
              <w:tc>
                <w:tcPr/>
                <w:p>
                  <w:pPr>
                    <w:pStyle w:val="Compact"/>
                    <w:jc w:val="center"/>
                    <w:jc w:val="center"/>
                  </w:pPr>
                  <w:r>
                    <w:t xml:space="preserve">Maringá</w:t>
                  </w:r>
                </w:p>
              </w:tc>
              <w:tc>
                <w:tcPr/>
                <w:p>
                  <w:pPr>
                    <w:pStyle w:val="Compact"/>
                    <w:jc w:val="center"/>
                    <w:jc w:val="center"/>
                  </w:pPr>
                  <w:r>
                    <w:t xml:space="preserve">68.6</w:t>
                  </w:r>
                </w:p>
              </w:tc>
            </w:tr>
            <w:tr>
              <w:tc>
                <w:tcPr/>
                <w:p>
                  <w:pPr>
                    <w:pStyle w:val="Compact"/>
                    <w:jc w:val="center"/>
                    <w:jc w:val="center"/>
                  </w:pPr>
                  <w:r>
                    <w:t xml:space="preserve">CINDACTA II</w:t>
                  </w:r>
                </w:p>
              </w:tc>
              <w:tc>
                <w:tcPr/>
                <w:p>
                  <w:pPr>
                    <w:pStyle w:val="Compact"/>
                    <w:jc w:val="center"/>
                    <w:jc w:val="center"/>
                  </w:pPr>
                  <w:r>
                    <w:t xml:space="preserve">SBFI</w:t>
                  </w:r>
                </w:p>
              </w:tc>
              <w:tc>
                <w:tcPr/>
                <w:p>
                  <w:pPr>
                    <w:pStyle w:val="Compact"/>
                    <w:jc w:val="center"/>
                    <w:jc w:val="center"/>
                  </w:pPr>
                  <w:r>
                    <w:t xml:space="preserve">Foz do Iguaçu</w:t>
                  </w:r>
                </w:p>
              </w:tc>
              <w:tc>
                <w:tcPr/>
                <w:p>
                  <w:pPr>
                    <w:pStyle w:val="Compact"/>
                    <w:jc w:val="center"/>
                    <w:jc w:val="center"/>
                  </w:pPr>
                  <w:r>
                    <w:t xml:space="preserve">69.1</w:t>
                  </w:r>
                </w:p>
              </w:tc>
            </w:tr>
            <w:tr>
              <w:tc>
                <w:tcPr/>
                <w:p>
                  <w:pPr>
                    <w:pStyle w:val="Compact"/>
                    <w:jc w:val="center"/>
                    <w:jc w:val="center"/>
                  </w:pPr>
                  <w:r>
                    <w:t xml:space="preserve">CINDACTA II</w:t>
                  </w:r>
                </w:p>
              </w:tc>
              <w:tc>
                <w:tcPr/>
                <w:p>
                  <w:pPr>
                    <w:pStyle w:val="Compact"/>
                    <w:jc w:val="center"/>
                    <w:jc w:val="center"/>
                  </w:pPr>
                  <w:r>
                    <w:t xml:space="preserve">SBLO</w:t>
                  </w:r>
                </w:p>
              </w:tc>
              <w:tc>
                <w:tcPr/>
                <w:p>
                  <w:pPr>
                    <w:pStyle w:val="Compact"/>
                    <w:jc w:val="center"/>
                    <w:jc w:val="center"/>
                  </w:pPr>
                  <w:r>
                    <w:t xml:space="preserve">Londrina</w:t>
                  </w:r>
                </w:p>
              </w:tc>
              <w:tc>
                <w:tcPr/>
                <w:p>
                  <w:pPr>
                    <w:pStyle w:val="Compact"/>
                    <w:jc w:val="center"/>
                    <w:jc w:val="center"/>
                  </w:pPr>
                  <w:r>
                    <w:t xml:space="preserve">69.6</w:t>
                  </w:r>
                </w:p>
              </w:tc>
            </w:tr>
          </w:tbl>
          <w:bookmarkEnd w:id="207"/>
          <w:p/>
        </w:tc>
      </w:tr>
    </w:tbl>
    <w:p>
      <w:pPr>
        <w:pStyle w:val="Corpodetexto"/>
      </w:pPr>
      <w:r>
        <w:t xml:space="preserve">Com base na análise, dez aeroportos apresentaram melhorias em seus índices em relação ao ano anterior, com destaque para Presidente Prudente (SBDN), que aumentou a pontualidade em 11,2 pontos percentuais, Ribeirão preto (SBRP), que registrou um crescimento de 5,1 pontos percentuais e Joinvile (SBJV), com melhora de 4,0 pontos percentuais.</w:t>
      </w:r>
    </w:p>
    <w:p>
      <w:pPr>
        <w:pStyle w:val="Corpodetexto"/>
      </w:pPr>
      <w:r>
        <w:t xml:space="preserve">Por outro lado, a pontualidade de chegada de Campinas (SBKP) apresentou queda, atingindo 55,9%, o menor resultado entre os aeroportos analisados a maior redução começou em abril e ficou até o final do ano.</w:t>
      </w:r>
    </w:p>
    <w:p>
      <w:pPr>
        <w:pStyle w:val="Corpodetexto"/>
      </w:pPr>
      <w:r>
        <w:t xml:space="preserve">Dos 40 aeroportos analisados 27 apresentaram uma piora na pontualidade de chegada, com destaque para os aeroportos de Porto Seguro (SBPS), que registrou um piora de 8,3 pontos percentuais. Na sequência, está o aeroporto de Salvador (SBSV), com uma pontualidade de 59,8%, o que representa 3,5 pontos percentuais de redução ao se comparar a 2024.</w:t>
      </w:r>
    </w:p>
    <w:p>
      <w:pPr>
        <w:pStyle w:val="Corpodetexto"/>
      </w:pPr>
      <w:r>
        <w:t xml:space="preserve">Conforme observa-se na</w:t>
      </w:r>
      <w:r>
        <w:t xml:space="preserve"> </w:t>
      </w:r>
      <w:hyperlink w:anchor="fig-kpi14-regional">
        <w:r>
          <w:rPr>
            <w:rStyle w:val="Hyperlink"/>
          </w:rPr>
          <w:t xml:space="preserve">Figura 3.5</w:t>
        </w:r>
      </w:hyperlink>
      <w:r>
        <w:t xml:space="preserve">, que representa pontualidade de chegada por Regional nos últimos três anos, a média de pontualidade de chegada nos 40 principais aeroportos em 2025 (SISCEAB) teve uma leve redução para 62,7%, variando 0,7% com relação a 2024.</w:t>
      </w:r>
    </w:p>
    <w:tbl>
      <w:tblPr>
        <w:tblStyle w:val="Table"/>
        <w:tblW w:type="pct" w:w="5000"/>
        <w:tblLayout w:type="fixed"/>
        <w:tblLook w:firstRow="0" w:lastRow="0" w:firstColumn="0" w:lastColumn="0" w:noHBand="0" w:noVBand="0" w:val="0000"/>
      </w:tblPr>
      <w:tblGrid>
        <w:gridCol w:w="7920"/>
      </w:tblGrid>
      <w:tr>
        <w:tc>
          <w:tcPr/>
          <w:bookmarkStart w:id="211" w:name="fig-kpi14-regional"/>
          <w:p>
            <w:pPr>
              <w:pStyle w:val="Compact"/>
              <w:jc w:val="center"/>
            </w:pPr>
            <w:r>
              <w:drawing>
                <wp:inline>
                  <wp:extent cx="5977890" cy="2590419"/>
                  <wp:effectExtent b="0" l="0" r="0" t="0"/>
                  <wp:docPr descr="" title="" id="209" name="Picture"/>
                  <a:graphic>
                    <a:graphicData uri="http://schemas.openxmlformats.org/drawingml/2006/picture">
                      <pic:pic>
                        <pic:nvPicPr>
                          <pic:cNvPr descr="03-Indicadores_files/figure-docx/fig-kpi14-regional-1.png" id="210" name="Picture"/>
                          <pic:cNvPicPr>
                            <a:picLocks noChangeArrowheads="1" noChangeAspect="1"/>
                          </pic:cNvPicPr>
                        </pic:nvPicPr>
                        <pic:blipFill>
                          <a:blip r:embed="rId208"/>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3.5: KPI 14 - Pontualidade de Chegada por Regional</w:t>
            </w:r>
          </w:p>
          <w:bookmarkEnd w:id="211"/>
        </w:tc>
      </w:tr>
    </w:tbl>
    <w:p>
      <w:pPr>
        <w:pStyle w:val="Corpodetexto"/>
      </w:pPr>
      <w:r>
        <w:t xml:space="preserve">Dentre os regionais, as maiores variações nas Pontualidades de Chegada em relação ao ano anterior, foi observada no CINDACTA III com 4,3 pontos percentuais seguida pelo CRCEA-SE com 1,2 pontos percentuais. Os CINDACTA I, II e IV apresentaram variações negativas abaixo de 1pontos percentuais no referido indice.</w:t>
      </w:r>
    </w:p>
    <w:tbl>
      <w:tblPr>
        <w:tblStyle w:val="Table"/>
        <w:tblW w:type="pct" w:w="5000"/>
        <w:tblLayout w:type="fixed"/>
        <w:tblLook w:firstRow="0" w:lastRow="0" w:firstColumn="0" w:lastColumn="0" w:noHBand="0" w:noVBand="0" w:val="0000"/>
      </w:tblPr>
      <w:tblGrid>
        <w:gridCol w:w="7920"/>
      </w:tblGrid>
      <w:tr>
        <w:tc>
          <w:tcPr/>
          <w:bookmarkStart w:id="215" w:name="fig-kpi14-faixa"/>
          <w:p>
            <w:pPr>
              <w:pStyle w:val="Compact"/>
              <w:jc w:val="center"/>
            </w:pPr>
            <w:r>
              <w:drawing>
                <wp:inline>
                  <wp:extent cx="5977890" cy="7970520"/>
                  <wp:effectExtent b="0" l="0" r="0" t="0"/>
                  <wp:docPr descr="" title="" id="213" name="Picture"/>
                  <a:graphic>
                    <a:graphicData uri="http://schemas.openxmlformats.org/drawingml/2006/picture">
                      <pic:pic>
                        <pic:nvPicPr>
                          <pic:cNvPr descr="03-Indicadores_files/figure-docx/fig-kpi14-faixa-1.png" id="214" name="Picture"/>
                          <pic:cNvPicPr>
                            <a:picLocks noChangeArrowheads="1" noChangeAspect="1"/>
                          </pic:cNvPicPr>
                        </pic:nvPicPr>
                        <pic:blipFill>
                          <a:blip r:embed="rId212"/>
                          <a:stretch>
                            <a:fillRect/>
                          </a:stretch>
                        </pic:blipFill>
                        <pic:spPr bwMode="auto">
                          <a:xfrm>
                            <a:off x="0" y="0"/>
                            <a:ext cx="5977890" cy="7970520"/>
                          </a:xfrm>
                          <a:prstGeom prst="rect">
                            <a:avLst/>
                          </a:prstGeom>
                          <a:noFill/>
                          <a:ln w="9525">
                            <a:noFill/>
                            <a:headEnd/>
                            <a:tailEnd/>
                          </a:ln>
                        </pic:spPr>
                      </pic:pic>
                    </a:graphicData>
                  </a:graphic>
                </wp:inline>
              </w:drawing>
            </w:r>
          </w:p>
          <w:p>
            <w:pPr>
              <w:jc w:val="center"/>
            </w:pPr>
            <w:pPr>
              <w:jc w:val="left"/>
              <w:spacing w:before="200"/>
              <w:pStyle w:val="ImageCaption"/>
            </w:pPr>
            <w:r>
              <w:t xml:space="preserve">Figura 3.6: KPI 14 - Pontualidade de Chegada por Faixa de Variação</w:t>
            </w:r>
          </w:p>
          <w:bookmarkEnd w:id="215"/>
        </w:tc>
      </w:tr>
    </w:tbl>
    <w:p>
      <w:pPr>
        <w:pStyle w:val="Corpodetexto"/>
      </w:pPr>
      <w:r>
        <w:t xml:space="preserve">A</w:t>
      </w:r>
      <w:r>
        <w:t xml:space="preserve"> </w:t>
      </w:r>
      <w:hyperlink w:anchor="fig-kpi14-faixa">
        <w:r>
          <w:rPr>
            <w:rStyle w:val="Hyperlink"/>
          </w:rPr>
          <w:t xml:space="preserve">Figura 3.6</w:t>
        </w:r>
      </w:hyperlink>
      <w:r>
        <w:t xml:space="preserve"> </w:t>
      </w:r>
      <w:r>
        <w:t xml:space="preserve">detalha o comportamento de cada aeroporto dentro dos parâmetros do indicador, apresentando o conjunto de voos pontuais em até 5 minutos ao centro (âmbar), à esquerda os adiantados, até 15 minutos (azul claro) e mais de 15 minutos (azul escuro), e, por fim, à direita os atrasados, até 15 minutos (laranja) e mais de 15 minutos (vermelho). Assim, no parâmetro de 15 minutos, são considerados pontuais os grupos âmbar, azul claro e laranja; e não pontuais, os grupos azul escuro e vermelho.</w:t>
      </w:r>
    </w:p>
    <w:p>
      <w:pPr>
        <w:pStyle w:val="Corpodetexto"/>
      </w:pPr>
      <w:r>
        <w:t xml:space="preserve">A análise da proporção por faixa horária de chegada evidencia um dos principais desafios do SISCEAB na busca por aprimorar sua performance: a gestão dos adiantamentos. Embora possa parecer benéfico para os passageiros, a antecipação das chegadas compromete o planejamento aeroportuário e do espaço aéreo, exigindo ajustes operacionais constantes, mais necessidade de gestão, possibilidade de saturação em volumes congestionados como pátio e setores de espaço aéreo.</w:t>
      </w:r>
    </w:p>
    <w:p>
      <w:pPr>
        <w:pStyle w:val="Corpodetexto"/>
      </w:pPr>
      <w:r>
        <w:t xml:space="preserve">A análise dos indicadores de pontualidade de chegada no período de 2023 a 2025 demonstra um padrão consistente de chegadas adiantadas, o que acaba por distorcer o próprio conceito de pontualidade. Esse comportamento está diretamente associado à prática de se declarar tempos de voo superiores ao tempo real entre as localidades, fazendo com que a execução do voo se afaste do tempo originalmente planejado, afetando a pontualidade de chegada no aeródromo de destino. Ainda que a pontualidade de partida permaneça formalmente dentro do limite de 15 minutos, a diferença entre o tempo de voo planejado e o executado, observada na ordem de até 8 minutos — a exemplo dos voos provenientes do Aeroporto de Congonhas para os aeroportos de Salvador, Galeão e Santos Dumont, que apresentam, respectivamente, médias de 8,5 minutos, 8,4 minutos e 5,1 minutos a menos do que o programado, leva as aeronaves a chegarem de forma recorrente antes do horário previsto.</w:t>
      </w:r>
    </w:p>
    <w:p>
      <w:pPr>
        <w:pStyle w:val="Corpodetexto"/>
      </w:pPr>
      <w:r>
        <w:t xml:space="preserve">Esse adiantamento impacta diretamente a gestão de pátio, a alocação de posições de estacionamento e a disponibilidade de recursos aeroportuários, além de comprometer a previsibilidade do fluxo e a confiabilidade dos próprios indicadores de desempenho.</w:t>
      </w:r>
    </w:p>
    <w:p>
      <w:pPr>
        <w:pStyle w:val="Corpodetexto"/>
      </w:pPr>
      <w:r>
        <w:t xml:space="preserve">Diante desse cenário, o DECEA continua implementando ações e estudos para reduzir as discrepâncias entre horários programados e realizados. O objetivo é garantir maior previsibilidade nas operações e minimizar impactos no gerenciamento do fluxo aéreo, promovendo uma gestão mais eficiente e equilibrada do tráfego aéreo nacional.</w:t>
      </w:r>
    </w:p>
    <w:bookmarkEnd w:id="216"/>
    <w:bookmarkStart w:id="225" w:name="pontualidade-geral"/>
    <w:p>
      <w:pPr>
        <w:pStyle w:val="Ttulo3"/>
      </w:pPr>
      <w:r>
        <w:t xml:space="preserve">3.1.3 PONTUALIDADE GERAL</w:t>
      </w:r>
    </w:p>
    <w:p>
      <w:pPr>
        <w:pStyle w:val="FirstParagraph"/>
      </w:pPr>
      <w:r>
        <w:t xml:space="preserve">Neste item, as informações relativas às pontualidades de partida (KPI 01) e de chegada (KPI 14) são consolidadas de forma combinada, considerando os quarenta aeroportos.</w:t>
      </w:r>
    </w:p>
    <w:tbl>
      <w:tblPr>
        <w:tblStyle w:val="Table"/>
        <w:tblW w:type="pct" w:w="5000"/>
        <w:tblLayout w:type="fixed"/>
        <w:tblLook w:firstRow="0" w:lastRow="0" w:firstColumn="0" w:lastColumn="0" w:noHBand="0" w:noVBand="0" w:val="0000"/>
      </w:tblPr>
      <w:tblGrid>
        <w:gridCol w:w="7920"/>
      </w:tblGrid>
      <w:tr>
        <w:tc>
          <w:tcPr/>
          <w:bookmarkStart w:id="220" w:name="fig-dispersao-pontualidade"/>
          <w:p>
            <w:pPr>
              <w:pStyle w:val="Compact"/>
              <w:jc w:val="center"/>
            </w:pPr>
            <w:r>
              <w:drawing>
                <wp:inline>
                  <wp:extent cx="5977890" cy="2590419"/>
                  <wp:effectExtent b="0" l="0" r="0" t="0"/>
                  <wp:docPr descr="" title="" id="218" name="Picture"/>
                  <a:graphic>
                    <a:graphicData uri="http://schemas.openxmlformats.org/drawingml/2006/picture">
                      <pic:pic>
                        <pic:nvPicPr>
                          <pic:cNvPr descr="03-Indicadores_files/figure-docx/fig-dispersao-pontualidade-1.png" id="219" name="Picture"/>
                          <pic:cNvPicPr>
                            <a:picLocks noChangeArrowheads="1" noChangeAspect="1"/>
                          </pic:cNvPicPr>
                        </pic:nvPicPr>
                        <pic:blipFill>
                          <a:blip r:embed="rId217"/>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3.7: Dispersão entre KPI 01 - Pontualidade de Partida e KPI 14 - Pontualidade de Chegada</w:t>
            </w:r>
          </w:p>
          <w:bookmarkEnd w:id="220"/>
        </w:tc>
      </w:tr>
    </w:tbl>
    <w:p>
      <w:pPr>
        <w:pStyle w:val="Corpodetexto"/>
      </w:pPr>
      <w:r>
        <w:t xml:space="preserve">O gráfico de dispersão na</w:t>
      </w:r>
      <w:r>
        <w:t xml:space="preserve"> </w:t>
      </w:r>
      <w:hyperlink w:anchor="fig-dispersao-pontualidade">
        <w:r>
          <w:rPr>
            <w:rStyle w:val="Hyperlink"/>
          </w:rPr>
          <w:t xml:space="preserve">Figura 3.7</w:t>
        </w:r>
      </w:hyperlink>
      <w:r>
        <w:t xml:space="preserve"> </w:t>
      </w:r>
      <w:r>
        <w:t xml:space="preserve">revela a performance dos aeroportos no que diz respeito aos indicadores de pontualidade de partida e de chegada de 2025: quanto mais à direita, maior é a pontualidade de chegada (KPI 14), e quanto mais acima, maior a pontualidade de partida (KPI 01). As linhas vermelhas representam a meta de 70% para o indicador de chegada e 80% para o de partida.</w:t>
      </w:r>
    </w:p>
    <w:p>
      <w:pPr>
        <w:pStyle w:val="Corpodetexto"/>
      </w:pPr>
      <w:r>
        <w:t xml:space="preserve">No geral, a maioria dos aeroportos monitorados tem superado a meta de pontualidade de partida. No entanto, sete aeroportos ficaram abaixo da meta tanto para pontualidade de partida quanto de chegada: Galeão (SBGL), Jacarepaguá (SBJR), Eduardo Gomes (SBEG), Guarulhos (SBGR), Ribeirão Preto (SBRP), Porto Seguro (SBPS) e Fernando de Noronha (SBFN). Vale destacar que, no caso do Galeão, os dados podem não ser totalmente precisos para esses indicadores devido ao uso do sistema</w:t>
      </w:r>
      <w:r>
        <w:t xml:space="preserve"> </w:t>
      </w:r>
      <w:r>
        <w:rPr>
          <w:i/>
          <w:iCs/>
        </w:rPr>
        <w:t xml:space="preserve">Apron Control</w:t>
      </w:r>
      <w:r>
        <w:t xml:space="preserve">.</w:t>
      </w:r>
    </w:p>
    <w:tbl>
      <w:tblPr>
        <w:tblStyle w:val="Table"/>
        <w:tblW w:type="pct" w:w="5000"/>
        <w:tblLayout w:type="fixed"/>
        <w:tblLook w:firstRow="0" w:lastRow="0" w:firstColumn="0" w:lastColumn="0" w:noHBand="0" w:noVBand="0" w:val="0000"/>
      </w:tblPr>
      <w:tblGrid>
        <w:gridCol w:w="7920"/>
      </w:tblGrid>
      <w:tr>
        <w:tc>
          <w:tcPr/>
          <w:bookmarkStart w:id="224" w:name="fig-disp-pontreg"/>
          <w:p>
            <w:pPr>
              <w:pStyle w:val="Compact"/>
              <w:jc w:val="center"/>
            </w:pPr>
            <w:r>
              <w:drawing>
                <wp:inline>
                  <wp:extent cx="5977890" cy="2590419"/>
                  <wp:effectExtent b="0" l="0" r="0" t="0"/>
                  <wp:docPr descr="" title="" id="222" name="Picture"/>
                  <a:graphic>
                    <a:graphicData uri="http://schemas.openxmlformats.org/drawingml/2006/picture">
                      <pic:pic>
                        <pic:nvPicPr>
                          <pic:cNvPr descr="03-Indicadores_files/figure-docx/fig-disp-pontreg-1.png" id="223" name="Picture"/>
                          <pic:cNvPicPr>
                            <a:picLocks noChangeArrowheads="1" noChangeAspect="1"/>
                          </pic:cNvPicPr>
                        </pic:nvPicPr>
                        <pic:blipFill>
                          <a:blip r:embed="rId221"/>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3.8: Dispersão entre KPI 01 - Pontualidade de Partida e KPI 14 - Pontualidade de Chegada por Regional</w:t>
            </w:r>
          </w:p>
          <w:bookmarkEnd w:id="224"/>
        </w:tc>
      </w:tr>
    </w:tbl>
    <w:p>
      <w:pPr>
        <w:pStyle w:val="Corpodetexto"/>
      </w:pPr>
      <w:r>
        <w:t xml:space="preserve">A</w:t>
      </w:r>
      <w:r>
        <w:t xml:space="preserve"> </w:t>
      </w:r>
      <w:hyperlink w:anchor="fig-disp-pontreg">
        <w:r>
          <w:rPr>
            <w:rStyle w:val="Hyperlink"/>
          </w:rPr>
          <w:t xml:space="preserve">Figura 3.8</w:t>
        </w:r>
      </w:hyperlink>
      <w:r>
        <w:t xml:space="preserve"> </w:t>
      </w:r>
      <w:r>
        <w:t xml:space="preserve">representa o gráfico de dispersão por agrupamento de aeródromos em cada regional e a análise revela as diferenças significativas na pontualidade dos regionais no que se refere às partidas e chegadas de aeronaves. No quesito pontualidade de partida, o CINDACTA II se destaca com o melhor desempenho, enquanto o CINDACTA IV, CINDACTA III e CINDACTA I, destacam-se na pontualidade de chegada. O CRCEA-SE ficou abaixo da meta na partida e na chegada, o que pode ser explicado por possuir tanto os aeroportos,quanto as terminais mais movimentadas do Brasil.</w:t>
      </w:r>
    </w:p>
    <w:p>
      <w:pPr>
        <w:pStyle w:val="Corpodetexto"/>
      </w:pPr>
      <w:r>
        <w:t xml:space="preserve">É importante destacar que o indicador de pontualidade considera variações de até 15 minutos, seja por atraso ou adiantamento. Além disso, conforme análise anterior dos gráficos de faixa de variação, grande parte das chegadas consideradas fora do padrão de pontualidade decorre de adiantamentos superiores a 15 minutos.</w:t>
      </w:r>
    </w:p>
    <w:bookmarkEnd w:id="225"/>
    <w:bookmarkStart w:id="231" w:name="kpi-15-variabilidade-do-tempo-de-voo"/>
    <w:p>
      <w:pPr>
        <w:pStyle w:val="Ttulo3"/>
      </w:pPr>
      <w:r>
        <w:t xml:space="preserve">3.1.4 KPI 15 – VARIABILIDADE DO TEMPO DE VOO</w:t>
      </w:r>
    </w:p>
    <w:p>
      <w:pPr>
        <w:pStyle w:val="FirstParagraph"/>
      </w:pPr>
      <w:r>
        <w:t xml:space="preserve">O indicador de variabilidade do tempo de voo reflete a distribuição da variação do tempo de voo</w:t>
      </w:r>
      <w:r>
        <w:t xml:space="preserve"> </w:t>
      </w:r>
      <w:r>
        <w:rPr>
          <w:i/>
          <w:iCs/>
        </w:rPr>
        <w:t xml:space="preserve">gate-to-gate</w:t>
      </w:r>
      <w:r>
        <w:t xml:space="preserve"> </w:t>
      </w:r>
      <w:r>
        <w:t xml:space="preserve">em torno de uma média para cada rota específica. Este KPI indica o nível de previsibilidade para os usuários do espaço aéreo, o que impacta diretamente no planejamento dos voos.</w:t>
      </w:r>
    </w:p>
    <w:p>
      <w:pPr>
        <w:pStyle w:val="Corpodetexto"/>
      </w:pPr>
      <w:r>
        <w:t xml:space="preserve">O objetivo principal deste indicador é identificar oportunidades para melhorar a previsibilidade do tempo de voo e aprimorar a gestão da pontualidade das operações aéreas, reduzindo as incertezas em relação à sua duração.</w:t>
      </w:r>
    </w:p>
    <w:p>
      <w:pPr>
        <w:pStyle w:val="Corpodetexto"/>
      </w:pPr>
      <w:r>
        <w:t xml:space="preserve">Para o cálculo deste KPI, foi adotada a metodologia baseada nos dados do 15º e 85º percentis, ou seja, descartando 15% dos voos mais rápidos e mais lentos. Isso resulta em uma amostra que representa 70% dos voos (variante 1 do MCA 100-22). Essa abordagem ajuda a identificar quanto o tempo de voo varia para mais ou para menos, proporcionando uma medida mais precisa da previsibilidade do tempo das rotas.</w:t>
      </w:r>
    </w:p>
    <w:p>
      <w:pPr>
        <w:pStyle w:val="Corpodetexto"/>
      </w:pPr>
      <w:r>
        <w:t xml:space="preserve">O indicador atualmente mede a variabilidade do tempo real total de voo,</w:t>
      </w:r>
      <w:r>
        <w:t xml:space="preserve"> </w:t>
      </w:r>
      <w:r>
        <w:rPr>
          <w:i/>
          <w:iCs/>
        </w:rPr>
        <w:t xml:space="preserve">gate-to-gate</w:t>
      </w:r>
      <w:r>
        <w:t xml:space="preserve">, utilizando a metodologia da OACI, que recomenda o uso do tempo entre o AOBT (</w:t>
      </w:r>
      <w:r>
        <w:rPr>
          <w:i/>
          <w:iCs/>
        </w:rPr>
        <w:t xml:space="preserve">Actual Off-Block Time</w:t>
      </w:r>
      <w:r>
        <w:t xml:space="preserve">) e o AIBT (</w:t>
      </w:r>
      <w:r>
        <w:rPr>
          <w:i/>
          <w:iCs/>
        </w:rPr>
        <w:t xml:space="preserve">Actual In-Block Time</w:t>
      </w:r>
      <w:r>
        <w:t xml:space="preserve">), por meio da fonte de dados do VRA (Voo Regular Ativo) da ANAC.</w:t>
      </w:r>
    </w:p>
    <w:tbl>
      <w:tblPr>
        <w:tblStyle w:val="Table"/>
        <w:tblW w:type="pct" w:w="5000"/>
        <w:tblLayout w:type="fixed"/>
        <w:tblLook w:firstRow="0" w:lastRow="0" w:firstColumn="0" w:lastColumn="0" w:noHBand="0" w:noVBand="0" w:val="0000"/>
      </w:tblPr>
      <w:tblGrid>
        <w:gridCol w:w="7920"/>
      </w:tblGrid>
      <w:tr>
        <w:tc>
          <w:tcPr/>
          <w:bookmarkStart w:id="229" w:name="fig-kpi-15"/>
          <w:p>
            <w:pPr>
              <w:pStyle w:val="Compact"/>
              <w:jc w:val="center"/>
            </w:pPr>
            <w:r>
              <w:drawing>
                <wp:inline>
                  <wp:extent cx="5977890" cy="2590419"/>
                  <wp:effectExtent b="0" l="0" r="0" t="0"/>
                  <wp:docPr descr="" title="" id="227" name="Picture"/>
                  <a:graphic>
                    <a:graphicData uri="http://schemas.openxmlformats.org/drawingml/2006/picture">
                      <pic:pic>
                        <pic:nvPicPr>
                          <pic:cNvPr descr="03-Indicadores_files/figure-docx/fig-kpi-15-1.png" id="228" name="Picture"/>
                          <pic:cNvPicPr>
                            <a:picLocks noChangeArrowheads="1" noChangeAspect="1"/>
                          </pic:cNvPicPr>
                        </pic:nvPicPr>
                        <pic:blipFill>
                          <a:blip r:embed="rId226"/>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3.9: KPI 15 - Variabilidade do Tempo de Voo</w:t>
            </w:r>
          </w:p>
          <w:bookmarkEnd w:id="229"/>
        </w:tc>
      </w:tr>
    </w:tbl>
    <w:p>
      <w:pPr>
        <w:pStyle w:val="Corpodetexto"/>
      </w:pPr>
      <w:r>
        <w:t xml:space="preserve">A</w:t>
      </w:r>
      <w:r>
        <w:t xml:space="preserve"> </w:t>
      </w:r>
      <w:hyperlink w:anchor="fig-kpi-15">
        <w:r>
          <w:rPr>
            <w:rStyle w:val="Hyperlink"/>
          </w:rPr>
          <w:t xml:space="preserve">Figura 3.9</w:t>
        </w:r>
      </w:hyperlink>
      <w:r>
        <w:t xml:space="preserve"> </w:t>
      </w:r>
      <w:r>
        <w:t xml:space="preserve">elenca os principais pares de cidades, considerando o total de movimentos em 2025, e seus respectivos resultados do KPI 15. Dentre os 40 pares de cidades mais voados em 2025, é possível perceber que a maior parte se deu com aeroportos como Santos Dumont (SBRJ), Congonhas(SBSP) e Guarulhos(SBGR).</w:t>
      </w:r>
    </w:p>
    <w:tbl>
      <w:tblPr>
        <w:tblStyle w:val="Table"/>
        <w:tblW w:type="pct" w:w="5000"/>
        <w:tblLayout w:type="fixed"/>
        <w:tblLook w:firstRow="0" w:lastRow="0" w:firstColumn="0" w:lastColumn="0" w:noHBand="0" w:noVBand="0" w:val="0000"/>
      </w:tblPr>
      <w:tblGrid>
        <w:gridCol w:w="7920"/>
      </w:tblGrid>
      <w:tr>
        <w:tc>
          <w:tcPr/>
          <w:bookmarkStart w:id="230" w:name="tbl-kpi15"/>
          <w:p>
            <w:pPr>
              <w:jc w:val="center"/>
            </w:pPr>
            <w:pPr>
              <w:jc w:val="left"/>
              <w:spacing w:before="200"/>
              <w:pStyle w:val="ImageCaption"/>
            </w:pPr>
            <w:r>
              <w:t xml:space="preserve">Tabela 3.4: Ranking das rotas mais utilizadas</w:t>
            </w:r>
          </w:p>
          <w:tbl>
            <w:tblPr>
              <w:tblStyle w:val="Table"/>
              <w:tblW w:type="pct" w:w="5000"/>
              <w:tblLayout w:type="fixed"/>
              <w:tblLook w:firstRow="1" w:lastRow="0" w:firstColumn="0" w:lastColumn="0" w:noHBand="0" w:noVBand="0" w:val="0020"/>
            </w:tblPr>
            <w:tblGrid>
              <w:gridCol w:w="407"/>
              <w:gridCol w:w="497"/>
              <w:gridCol w:w="724"/>
              <w:gridCol w:w="724"/>
              <w:gridCol w:w="1357"/>
              <w:gridCol w:w="1357"/>
              <w:gridCol w:w="905"/>
              <w:gridCol w:w="905"/>
              <w:gridCol w:w="1040"/>
            </w:tblGrid>
            <w:tr>
              <w:trPr>
                <w:tblHeader w:val="on"/>
              </w:trPr>
              <w:tc>
                <w:tcPr/>
                <w:p>
                  <w:pPr>
                    <w:pStyle w:val="Compact"/>
                    <w:jc w:val="center"/>
                    <w:jc w:val="center"/>
                  </w:pPr>
                  <w:r>
                    <w:t xml:space="preserve">Ranking</w:t>
                  </w:r>
                </w:p>
              </w:tc>
              <w:tc>
                <w:tcPr/>
                <w:p>
                  <w:pPr>
                    <w:pStyle w:val="Compact"/>
                    <w:jc w:val="center"/>
                    <w:jc w:val="center"/>
                  </w:pPr>
                  <w:r>
                    <w:t xml:space="preserve">Rotas</w:t>
                  </w:r>
                </w:p>
              </w:tc>
              <w:tc>
                <w:tcPr/>
                <w:p>
                  <w:pPr>
                    <w:pStyle w:val="Compact"/>
                    <w:jc w:val="center"/>
                    <w:jc w:val="center"/>
                  </w:pPr>
                  <w:r>
                    <w:t xml:space="preserve">Qtd. Voos 2024</w:t>
                  </w:r>
                </w:p>
              </w:tc>
              <w:tc>
                <w:tcPr/>
                <w:p>
                  <w:pPr>
                    <w:pStyle w:val="Compact"/>
                    <w:jc w:val="center"/>
                    <w:jc w:val="center"/>
                  </w:pPr>
                  <w:r>
                    <w:t xml:space="preserve">Qtd. Voos 2025</w:t>
                  </w:r>
                </w:p>
              </w:tc>
              <w:tc>
                <w:tcPr/>
                <w:p>
                  <w:pPr>
                    <w:pStyle w:val="Compact"/>
                    <w:jc w:val="center"/>
                    <w:jc w:val="center"/>
                  </w:pPr>
                  <w:r>
                    <w:t xml:space="preserve">Tempo Médio Voo (min) - 2024</w:t>
                  </w:r>
                </w:p>
              </w:tc>
              <w:tc>
                <w:tcPr/>
                <w:p>
                  <w:pPr>
                    <w:pStyle w:val="Compact"/>
                    <w:jc w:val="center"/>
                    <w:jc w:val="center"/>
                  </w:pPr>
                  <w:r>
                    <w:t xml:space="preserve">Tempo Médio Voo (min) - 2025</w:t>
                  </w:r>
                </w:p>
              </w:tc>
              <w:tc>
                <w:tcPr/>
                <w:p>
                  <w:pPr>
                    <w:pStyle w:val="Compact"/>
                    <w:jc w:val="center"/>
                    <w:jc w:val="center"/>
                  </w:pPr>
                  <w:r>
                    <w:t xml:space="preserve">KPI15 (min) - 2024</w:t>
                  </w:r>
                </w:p>
              </w:tc>
              <w:tc>
                <w:tcPr/>
                <w:p>
                  <w:pPr>
                    <w:pStyle w:val="Compact"/>
                    <w:jc w:val="center"/>
                    <w:jc w:val="center"/>
                  </w:pPr>
                  <w:r>
                    <w:t xml:space="preserve">KPI15 (min) - 2025</w:t>
                  </w:r>
                </w:p>
              </w:tc>
              <w:tc>
                <w:tcPr/>
                <w:p>
                  <w:pPr>
                    <w:pStyle w:val="Compact"/>
                    <w:jc w:val="center"/>
                    <w:jc w:val="center"/>
                  </w:pPr>
                  <w:r>
                    <w:t xml:space="preserve">VAR KPI15 (2024/2025)</w:t>
                  </w:r>
                </w:p>
              </w:tc>
            </w:tr>
            <w:tr>
              <w:tc>
                <w:tcPr/>
                <w:p>
                  <w:pPr>
                    <w:pStyle w:val="Compact"/>
                    <w:jc w:val="center"/>
                    <w:jc w:val="center"/>
                  </w:pPr>
                  <w:r>
                    <w:t xml:space="preserve">1</w:t>
                  </w:r>
                </w:p>
              </w:tc>
              <w:tc>
                <w:tcPr/>
                <w:p>
                  <w:pPr>
                    <w:pStyle w:val="Compact"/>
                    <w:jc w:val="center"/>
                    <w:jc w:val="center"/>
                  </w:pPr>
                  <w:r>
                    <w:t xml:space="preserve">SBSP-SBRJ</w:t>
                  </w:r>
                </w:p>
              </w:tc>
              <w:tc>
                <w:tcPr/>
                <w:p>
                  <w:pPr>
                    <w:pStyle w:val="Compact"/>
                    <w:jc w:val="center"/>
                    <w:jc w:val="center"/>
                  </w:pPr>
                  <w:r>
                    <w:t xml:space="preserve">18360</w:t>
                  </w:r>
                </w:p>
              </w:tc>
              <w:tc>
                <w:tcPr/>
                <w:p>
                  <w:pPr>
                    <w:pStyle w:val="Compact"/>
                    <w:jc w:val="center"/>
                    <w:jc w:val="center"/>
                  </w:pPr>
                  <w:r>
                    <w:t xml:space="preserve">18169</w:t>
                  </w:r>
                </w:p>
              </w:tc>
              <w:tc>
                <w:tcPr/>
                <w:p>
                  <w:pPr>
                    <w:pStyle w:val="Compact"/>
                    <w:jc w:val="center"/>
                    <w:jc w:val="center"/>
                  </w:pPr>
                  <w:r>
                    <w:t xml:space="preserve">58.20</w:t>
                  </w:r>
                </w:p>
              </w:tc>
              <w:tc>
                <w:tcPr/>
                <w:p>
                  <w:pPr>
                    <w:pStyle w:val="Compact"/>
                    <w:jc w:val="center"/>
                    <w:jc w:val="center"/>
                  </w:pPr>
                  <w:r>
                    <w:t xml:space="preserve">56.20</w:t>
                  </w:r>
                </w:p>
              </w:tc>
              <w:tc>
                <w:tcPr/>
                <w:p>
                  <w:pPr>
                    <w:pStyle w:val="Compact"/>
                    <w:jc w:val="center"/>
                    <w:jc w:val="center"/>
                  </w:pPr>
                  <w:r>
                    <w:t xml:space="preserve">6.70</w:t>
                  </w:r>
                </w:p>
              </w:tc>
              <w:tc>
                <w:tcPr/>
                <w:p>
                  <w:pPr>
                    <w:pStyle w:val="Compact"/>
                    <w:jc w:val="center"/>
                    <w:jc w:val="center"/>
                  </w:pPr>
                  <w:r>
                    <w:t xml:space="preserve">5.60</w:t>
                  </w:r>
                </w:p>
              </w:tc>
              <w:tc>
                <w:tcPr/>
                <w:p>
                  <w:pPr>
                    <w:pStyle w:val="Compact"/>
                    <w:jc w:val="center"/>
                    <w:jc w:val="center"/>
                  </w:pPr>
                  <w:r>
                    <w:t xml:space="preserve">-16.4%%</w:t>
                  </w:r>
                </w:p>
              </w:tc>
            </w:tr>
            <w:tr>
              <w:tc>
                <w:tcPr/>
                <w:p>
                  <w:pPr>
                    <w:pStyle w:val="Compact"/>
                    <w:jc w:val="center"/>
                    <w:jc w:val="center"/>
                  </w:pPr>
                  <w:r>
                    <w:t xml:space="preserve">2</w:t>
                  </w:r>
                </w:p>
              </w:tc>
              <w:tc>
                <w:tcPr/>
                <w:p>
                  <w:pPr>
                    <w:pStyle w:val="Compact"/>
                    <w:jc w:val="center"/>
                    <w:jc w:val="center"/>
                  </w:pPr>
                  <w:r>
                    <w:t xml:space="preserve">SBRJ-SBSP</w:t>
                  </w:r>
                </w:p>
              </w:tc>
              <w:tc>
                <w:tcPr/>
                <w:p>
                  <w:pPr>
                    <w:pStyle w:val="Compact"/>
                    <w:jc w:val="center"/>
                    <w:jc w:val="center"/>
                  </w:pPr>
                  <w:r>
                    <w:t xml:space="preserve">18356</w:t>
                  </w:r>
                </w:p>
              </w:tc>
              <w:tc>
                <w:tcPr/>
                <w:p>
                  <w:pPr>
                    <w:pStyle w:val="Compact"/>
                    <w:jc w:val="center"/>
                    <w:jc w:val="center"/>
                  </w:pPr>
                  <w:r>
                    <w:t xml:space="preserve">18162</w:t>
                  </w:r>
                </w:p>
              </w:tc>
              <w:tc>
                <w:tcPr/>
                <w:p>
                  <w:pPr>
                    <w:pStyle w:val="Compact"/>
                    <w:jc w:val="center"/>
                    <w:jc w:val="center"/>
                  </w:pPr>
                  <w:r>
                    <w:t xml:space="preserve">65.20</w:t>
                  </w:r>
                </w:p>
              </w:tc>
              <w:tc>
                <w:tcPr/>
                <w:p>
                  <w:pPr>
                    <w:pStyle w:val="Compact"/>
                    <w:jc w:val="center"/>
                    <w:jc w:val="center"/>
                  </w:pPr>
                  <w:r>
                    <w:t xml:space="preserve">63.70</w:t>
                  </w:r>
                </w:p>
              </w:tc>
              <w:tc>
                <w:tcPr/>
                <w:p>
                  <w:pPr>
                    <w:pStyle w:val="Compact"/>
                    <w:jc w:val="center"/>
                    <w:jc w:val="center"/>
                  </w:pPr>
                  <w:r>
                    <w:t xml:space="preserve">7.20</w:t>
                  </w:r>
                </w:p>
              </w:tc>
              <w:tc>
                <w:tcPr/>
                <w:p>
                  <w:pPr>
                    <w:pStyle w:val="Compact"/>
                    <w:jc w:val="center"/>
                    <w:jc w:val="center"/>
                  </w:pPr>
                  <w:r>
                    <w:t xml:space="preserve">6.40</w:t>
                  </w:r>
                </w:p>
              </w:tc>
              <w:tc>
                <w:tcPr/>
                <w:p>
                  <w:pPr>
                    <w:pStyle w:val="Compact"/>
                    <w:jc w:val="center"/>
                    <w:jc w:val="center"/>
                  </w:pPr>
                  <w:r>
                    <w:t xml:space="preserve">-11.1%%</w:t>
                  </w:r>
                </w:p>
              </w:tc>
            </w:tr>
            <w:tr>
              <w:tc>
                <w:tcPr/>
                <w:p>
                  <w:pPr>
                    <w:pStyle w:val="Compact"/>
                    <w:jc w:val="center"/>
                    <w:jc w:val="center"/>
                  </w:pPr>
                  <w:r>
                    <w:t xml:space="preserve">3</w:t>
                  </w:r>
                </w:p>
              </w:tc>
              <w:tc>
                <w:tcPr/>
                <w:p>
                  <w:pPr>
                    <w:pStyle w:val="Compact"/>
                    <w:jc w:val="center"/>
                    <w:jc w:val="center"/>
                  </w:pPr>
                  <w:r>
                    <w:t xml:space="preserve">SBSP-SBBR</w:t>
                  </w:r>
                </w:p>
              </w:tc>
              <w:tc>
                <w:tcPr/>
                <w:p>
                  <w:pPr>
                    <w:pStyle w:val="Compact"/>
                    <w:jc w:val="center"/>
                    <w:jc w:val="center"/>
                  </w:pPr>
                  <w:r>
                    <w:t xml:space="preserve">9474</w:t>
                  </w:r>
                </w:p>
              </w:tc>
              <w:tc>
                <w:tcPr/>
                <w:p>
                  <w:pPr>
                    <w:pStyle w:val="Compact"/>
                    <w:jc w:val="center"/>
                    <w:jc w:val="center"/>
                  </w:pPr>
                  <w:r>
                    <w:t xml:space="preserve">8910</w:t>
                  </w:r>
                </w:p>
              </w:tc>
              <w:tc>
                <w:tcPr/>
                <w:p>
                  <w:pPr>
                    <w:pStyle w:val="Compact"/>
                    <w:jc w:val="center"/>
                    <w:jc w:val="center"/>
                  </w:pPr>
                  <w:r>
                    <w:t xml:space="preserve">104.50</w:t>
                  </w:r>
                </w:p>
              </w:tc>
              <w:tc>
                <w:tcPr/>
                <w:p>
                  <w:pPr>
                    <w:pStyle w:val="Compact"/>
                    <w:jc w:val="center"/>
                    <w:jc w:val="center"/>
                  </w:pPr>
                  <w:r>
                    <w:t xml:space="preserve">102.10</w:t>
                  </w:r>
                </w:p>
              </w:tc>
              <w:tc>
                <w:tcPr/>
                <w:p>
                  <w:pPr>
                    <w:pStyle w:val="Compact"/>
                    <w:jc w:val="center"/>
                    <w:jc w:val="center"/>
                  </w:pPr>
                  <w:r>
                    <w:t xml:space="preserve">7.10</w:t>
                  </w:r>
                </w:p>
              </w:tc>
              <w:tc>
                <w:tcPr/>
                <w:p>
                  <w:pPr>
                    <w:pStyle w:val="Compact"/>
                    <w:jc w:val="center"/>
                    <w:jc w:val="center"/>
                  </w:pPr>
                  <w:r>
                    <w:t xml:space="preserve">6.50</w:t>
                  </w:r>
                </w:p>
              </w:tc>
              <w:tc>
                <w:tcPr/>
                <w:p>
                  <w:pPr>
                    <w:pStyle w:val="Compact"/>
                    <w:jc w:val="center"/>
                    <w:jc w:val="center"/>
                  </w:pPr>
                  <w:r>
                    <w:t xml:space="preserve">-8.5%%</w:t>
                  </w:r>
                </w:p>
              </w:tc>
            </w:tr>
            <w:tr>
              <w:tc>
                <w:tcPr/>
                <w:p>
                  <w:pPr>
                    <w:pStyle w:val="Compact"/>
                    <w:jc w:val="center"/>
                    <w:jc w:val="center"/>
                  </w:pPr>
                  <w:r>
                    <w:t xml:space="preserve">4</w:t>
                  </w:r>
                </w:p>
              </w:tc>
              <w:tc>
                <w:tcPr/>
                <w:p>
                  <w:pPr>
                    <w:pStyle w:val="Compact"/>
                    <w:jc w:val="center"/>
                    <w:jc w:val="center"/>
                  </w:pPr>
                  <w:r>
                    <w:t xml:space="preserve">SBBR-SBSP</w:t>
                  </w:r>
                </w:p>
              </w:tc>
              <w:tc>
                <w:tcPr/>
                <w:p>
                  <w:pPr>
                    <w:pStyle w:val="Compact"/>
                    <w:jc w:val="center"/>
                    <w:jc w:val="center"/>
                  </w:pPr>
                  <w:r>
                    <w:t xml:space="preserve">9423</w:t>
                  </w:r>
                </w:p>
              </w:tc>
              <w:tc>
                <w:tcPr/>
                <w:p>
                  <w:pPr>
                    <w:pStyle w:val="Compact"/>
                    <w:jc w:val="center"/>
                    <w:jc w:val="center"/>
                  </w:pPr>
                  <w:r>
                    <w:t xml:space="preserve">8862</w:t>
                  </w:r>
                </w:p>
              </w:tc>
              <w:tc>
                <w:tcPr/>
                <w:p>
                  <w:pPr>
                    <w:pStyle w:val="Compact"/>
                    <w:jc w:val="center"/>
                    <w:jc w:val="center"/>
                  </w:pPr>
                  <w:r>
                    <w:t xml:space="preserve">104.80</w:t>
                  </w:r>
                </w:p>
              </w:tc>
              <w:tc>
                <w:tcPr/>
                <w:p>
                  <w:pPr>
                    <w:pStyle w:val="Compact"/>
                    <w:jc w:val="center"/>
                    <w:jc w:val="center"/>
                  </w:pPr>
                  <w:r>
                    <w:t xml:space="preserve">102.00</w:t>
                  </w:r>
                </w:p>
              </w:tc>
              <w:tc>
                <w:tcPr/>
                <w:p>
                  <w:pPr>
                    <w:pStyle w:val="Compact"/>
                    <w:jc w:val="center"/>
                    <w:jc w:val="center"/>
                  </w:pPr>
                  <w:r>
                    <w:t xml:space="preserve">8.40</w:t>
                  </w:r>
                </w:p>
              </w:tc>
              <w:tc>
                <w:tcPr/>
                <w:p>
                  <w:pPr>
                    <w:pStyle w:val="Compact"/>
                    <w:jc w:val="center"/>
                    <w:jc w:val="center"/>
                  </w:pPr>
                  <w:r>
                    <w:t xml:space="preserve">7.30</w:t>
                  </w:r>
                </w:p>
              </w:tc>
              <w:tc>
                <w:tcPr/>
                <w:p>
                  <w:pPr>
                    <w:pStyle w:val="Compact"/>
                    <w:jc w:val="center"/>
                    <w:jc w:val="center"/>
                  </w:pPr>
                  <w:r>
                    <w:t xml:space="preserve">-13.1%%</w:t>
                  </w:r>
                </w:p>
              </w:tc>
            </w:tr>
            <w:tr>
              <w:tc>
                <w:tcPr/>
                <w:p>
                  <w:pPr>
                    <w:pStyle w:val="Compact"/>
                    <w:jc w:val="center"/>
                    <w:jc w:val="center"/>
                  </w:pPr>
                  <w:r>
                    <w:t xml:space="preserve">5</w:t>
                  </w:r>
                </w:p>
              </w:tc>
              <w:tc>
                <w:tcPr/>
                <w:p>
                  <w:pPr>
                    <w:pStyle w:val="Compact"/>
                    <w:jc w:val="center"/>
                    <w:jc w:val="center"/>
                  </w:pPr>
                  <w:r>
                    <w:t xml:space="preserve">SBSP-SBCF</w:t>
                  </w:r>
                </w:p>
              </w:tc>
              <w:tc>
                <w:tcPr/>
                <w:p>
                  <w:pPr>
                    <w:pStyle w:val="Compact"/>
                    <w:jc w:val="center"/>
                    <w:jc w:val="center"/>
                  </w:pPr>
                  <w:r>
                    <w:t xml:space="preserve">8781</w:t>
                  </w:r>
                </w:p>
              </w:tc>
              <w:tc>
                <w:tcPr/>
                <w:p>
                  <w:pPr>
                    <w:pStyle w:val="Compact"/>
                    <w:jc w:val="center"/>
                    <w:jc w:val="center"/>
                  </w:pPr>
                  <w:r>
                    <w:t xml:space="preserve">8166</w:t>
                  </w:r>
                </w:p>
              </w:tc>
              <w:tc>
                <w:tcPr/>
                <w:p>
                  <w:pPr>
                    <w:pStyle w:val="Compact"/>
                    <w:jc w:val="center"/>
                    <w:jc w:val="center"/>
                  </w:pPr>
                  <w:r>
                    <w:t xml:space="preserve">74.00</w:t>
                  </w:r>
                </w:p>
              </w:tc>
              <w:tc>
                <w:tcPr/>
                <w:p>
                  <w:pPr>
                    <w:pStyle w:val="Compact"/>
                    <w:jc w:val="center"/>
                    <w:jc w:val="center"/>
                  </w:pPr>
                  <w:r>
                    <w:t xml:space="preserve">72.10</w:t>
                  </w:r>
                </w:p>
              </w:tc>
              <w:tc>
                <w:tcPr/>
                <w:p>
                  <w:pPr>
                    <w:pStyle w:val="Compact"/>
                    <w:jc w:val="center"/>
                    <w:jc w:val="center"/>
                  </w:pPr>
                  <w:r>
                    <w:t xml:space="preserve">6.60</w:t>
                  </w:r>
                </w:p>
              </w:tc>
              <w:tc>
                <w:tcPr/>
                <w:p>
                  <w:pPr>
                    <w:pStyle w:val="Compact"/>
                    <w:jc w:val="center"/>
                    <w:jc w:val="center"/>
                  </w:pPr>
                  <w:r>
                    <w:t xml:space="preserve">5.90</w:t>
                  </w:r>
                </w:p>
              </w:tc>
              <w:tc>
                <w:tcPr/>
                <w:p>
                  <w:pPr>
                    <w:pStyle w:val="Compact"/>
                    <w:jc w:val="center"/>
                    <w:jc w:val="center"/>
                  </w:pPr>
                  <w:r>
                    <w:t xml:space="preserve">-10.6%%</w:t>
                  </w:r>
                </w:p>
              </w:tc>
            </w:tr>
            <w:tr>
              <w:tc>
                <w:tcPr/>
                <w:p>
                  <w:pPr>
                    <w:pStyle w:val="Compact"/>
                    <w:jc w:val="center"/>
                    <w:jc w:val="center"/>
                  </w:pPr>
                  <w:r>
                    <w:t xml:space="preserve">6</w:t>
                  </w:r>
                </w:p>
              </w:tc>
              <w:tc>
                <w:tcPr/>
                <w:p>
                  <w:pPr>
                    <w:pStyle w:val="Compact"/>
                    <w:jc w:val="center"/>
                    <w:jc w:val="center"/>
                  </w:pPr>
                  <w:r>
                    <w:t xml:space="preserve">SBCF-SBSP</w:t>
                  </w:r>
                </w:p>
              </w:tc>
              <w:tc>
                <w:tcPr/>
                <w:p>
                  <w:pPr>
                    <w:pStyle w:val="Compact"/>
                    <w:jc w:val="center"/>
                    <w:jc w:val="center"/>
                  </w:pPr>
                  <w:r>
                    <w:t xml:space="preserve">8795</w:t>
                  </w:r>
                </w:p>
              </w:tc>
              <w:tc>
                <w:tcPr/>
                <w:p>
                  <w:pPr>
                    <w:pStyle w:val="Compact"/>
                    <w:jc w:val="center"/>
                    <w:jc w:val="center"/>
                  </w:pPr>
                  <w:r>
                    <w:t xml:space="preserve">8162</w:t>
                  </w:r>
                </w:p>
              </w:tc>
              <w:tc>
                <w:tcPr/>
                <w:p>
                  <w:pPr>
                    <w:pStyle w:val="Compact"/>
                    <w:jc w:val="center"/>
                    <w:jc w:val="center"/>
                  </w:pPr>
                  <w:r>
                    <w:t xml:space="preserve">81.40</w:t>
                  </w:r>
                </w:p>
              </w:tc>
              <w:tc>
                <w:tcPr/>
                <w:p>
                  <w:pPr>
                    <w:pStyle w:val="Compact"/>
                    <w:jc w:val="center"/>
                    <w:jc w:val="center"/>
                  </w:pPr>
                  <w:r>
                    <w:t xml:space="preserve">79.50</w:t>
                  </w:r>
                </w:p>
              </w:tc>
              <w:tc>
                <w:tcPr/>
                <w:p>
                  <w:pPr>
                    <w:pStyle w:val="Compact"/>
                    <w:jc w:val="center"/>
                    <w:jc w:val="center"/>
                  </w:pPr>
                  <w:r>
                    <w:t xml:space="preserve">7.90</w:t>
                  </w:r>
                </w:p>
              </w:tc>
              <w:tc>
                <w:tcPr/>
                <w:p>
                  <w:pPr>
                    <w:pStyle w:val="Compact"/>
                    <w:jc w:val="center"/>
                    <w:jc w:val="center"/>
                  </w:pPr>
                  <w:r>
                    <w:t xml:space="preserve">7.10</w:t>
                  </w:r>
                </w:p>
              </w:tc>
              <w:tc>
                <w:tcPr/>
                <w:p>
                  <w:pPr>
                    <w:pStyle w:val="Compact"/>
                    <w:jc w:val="center"/>
                    <w:jc w:val="center"/>
                  </w:pPr>
                  <w:r>
                    <w:t xml:space="preserve">-10.1%%</w:t>
                  </w:r>
                </w:p>
              </w:tc>
            </w:tr>
            <w:tr>
              <w:tc>
                <w:tcPr/>
                <w:p>
                  <w:pPr>
                    <w:pStyle w:val="Compact"/>
                    <w:jc w:val="center"/>
                    <w:jc w:val="center"/>
                  </w:pPr>
                  <w:r>
                    <w:t xml:space="preserve">7</w:t>
                  </w:r>
                </w:p>
              </w:tc>
              <w:tc>
                <w:tcPr/>
                <w:p>
                  <w:pPr>
                    <w:pStyle w:val="Compact"/>
                    <w:jc w:val="center"/>
                    <w:jc w:val="center"/>
                  </w:pPr>
                  <w:r>
                    <w:t xml:space="preserve">SBSP-SBPA</w:t>
                  </w:r>
                </w:p>
              </w:tc>
              <w:tc>
                <w:tcPr/>
                <w:p>
                  <w:pPr>
                    <w:pStyle w:val="Compact"/>
                    <w:jc w:val="center"/>
                    <w:jc w:val="center"/>
                  </w:pPr>
                  <w:r>
                    <w:t xml:space="preserve">4012</w:t>
                  </w:r>
                </w:p>
              </w:tc>
              <w:tc>
                <w:tcPr/>
                <w:p>
                  <w:pPr>
                    <w:pStyle w:val="Compact"/>
                    <w:jc w:val="center"/>
                    <w:jc w:val="center"/>
                  </w:pPr>
                  <w:r>
                    <w:t xml:space="preserve">7927</w:t>
                  </w:r>
                </w:p>
              </w:tc>
              <w:tc>
                <w:tcPr/>
                <w:p>
                  <w:pPr>
                    <w:pStyle w:val="Compact"/>
                    <w:jc w:val="center"/>
                    <w:jc w:val="center"/>
                  </w:pPr>
                  <w:r>
                    <w:t xml:space="preserve">99.60</w:t>
                  </w:r>
                </w:p>
              </w:tc>
              <w:tc>
                <w:tcPr/>
                <w:p>
                  <w:pPr>
                    <w:pStyle w:val="Compact"/>
                    <w:jc w:val="center"/>
                    <w:jc w:val="center"/>
                  </w:pPr>
                  <w:r>
                    <w:t xml:space="preserve">97.60</w:t>
                  </w:r>
                </w:p>
              </w:tc>
              <w:tc>
                <w:tcPr/>
                <w:p>
                  <w:pPr>
                    <w:pStyle w:val="Compact"/>
                    <w:jc w:val="center"/>
                    <w:jc w:val="center"/>
                  </w:pPr>
                  <w:r>
                    <w:t xml:space="preserve">7.20</w:t>
                  </w:r>
                </w:p>
              </w:tc>
              <w:tc>
                <w:tcPr/>
                <w:p>
                  <w:pPr>
                    <w:pStyle w:val="Compact"/>
                    <w:jc w:val="center"/>
                    <w:jc w:val="center"/>
                  </w:pPr>
                  <w:r>
                    <w:t xml:space="preserve">5.90</w:t>
                  </w:r>
                </w:p>
              </w:tc>
              <w:tc>
                <w:tcPr/>
                <w:p>
                  <w:pPr>
                    <w:pStyle w:val="Compact"/>
                    <w:jc w:val="center"/>
                    <w:jc w:val="center"/>
                  </w:pPr>
                  <w:r>
                    <w:t xml:space="preserve">-18.1%%</w:t>
                  </w:r>
                </w:p>
              </w:tc>
            </w:tr>
            <w:tr>
              <w:tc>
                <w:tcPr/>
                <w:p>
                  <w:pPr>
                    <w:pStyle w:val="Compact"/>
                    <w:jc w:val="center"/>
                    <w:jc w:val="center"/>
                  </w:pPr>
                  <w:r>
                    <w:t xml:space="preserve">8</w:t>
                  </w:r>
                </w:p>
              </w:tc>
              <w:tc>
                <w:tcPr/>
                <w:p>
                  <w:pPr>
                    <w:pStyle w:val="Compact"/>
                    <w:jc w:val="center"/>
                    <w:jc w:val="center"/>
                  </w:pPr>
                  <w:r>
                    <w:t xml:space="preserve">SBPA-SBSP</w:t>
                  </w:r>
                </w:p>
              </w:tc>
              <w:tc>
                <w:tcPr/>
                <w:p>
                  <w:pPr>
                    <w:pStyle w:val="Compact"/>
                    <w:jc w:val="center"/>
                    <w:jc w:val="center"/>
                  </w:pPr>
                  <w:r>
                    <w:t xml:space="preserve">4002</w:t>
                  </w:r>
                </w:p>
              </w:tc>
              <w:tc>
                <w:tcPr/>
                <w:p>
                  <w:pPr>
                    <w:pStyle w:val="Compact"/>
                    <w:jc w:val="center"/>
                    <w:jc w:val="center"/>
                  </w:pPr>
                  <w:r>
                    <w:t xml:space="preserve">7885</w:t>
                  </w:r>
                </w:p>
              </w:tc>
              <w:tc>
                <w:tcPr/>
                <w:p>
                  <w:pPr>
                    <w:pStyle w:val="Compact"/>
                    <w:jc w:val="center"/>
                    <w:jc w:val="center"/>
                  </w:pPr>
                  <w:r>
                    <w:t xml:space="preserve">93.80</w:t>
                  </w:r>
                </w:p>
              </w:tc>
              <w:tc>
                <w:tcPr/>
                <w:p>
                  <w:pPr>
                    <w:pStyle w:val="Compact"/>
                    <w:jc w:val="center"/>
                    <w:jc w:val="center"/>
                  </w:pPr>
                  <w:r>
                    <w:t xml:space="preserve">91.90</w:t>
                  </w:r>
                </w:p>
              </w:tc>
              <w:tc>
                <w:tcPr/>
                <w:p>
                  <w:pPr>
                    <w:pStyle w:val="Compact"/>
                    <w:jc w:val="center"/>
                    <w:jc w:val="center"/>
                  </w:pPr>
                  <w:r>
                    <w:t xml:space="preserve">7.60</w:t>
                  </w:r>
                </w:p>
              </w:tc>
              <w:tc>
                <w:tcPr/>
                <w:p>
                  <w:pPr>
                    <w:pStyle w:val="Compact"/>
                    <w:jc w:val="center"/>
                    <w:jc w:val="center"/>
                  </w:pPr>
                  <w:r>
                    <w:t xml:space="preserve">6.60</w:t>
                  </w:r>
                </w:p>
              </w:tc>
              <w:tc>
                <w:tcPr/>
                <w:p>
                  <w:pPr>
                    <w:pStyle w:val="Compact"/>
                    <w:jc w:val="center"/>
                    <w:jc w:val="center"/>
                  </w:pPr>
                  <w:r>
                    <w:t xml:space="preserve">-13.2%%</w:t>
                  </w:r>
                </w:p>
              </w:tc>
            </w:tr>
            <w:tr>
              <w:tc>
                <w:tcPr/>
                <w:p>
                  <w:pPr>
                    <w:pStyle w:val="Compact"/>
                    <w:jc w:val="center"/>
                    <w:jc w:val="center"/>
                  </w:pPr>
                  <w:r>
                    <w:t xml:space="preserve">9</w:t>
                  </w:r>
                </w:p>
              </w:tc>
              <w:tc>
                <w:tcPr/>
                <w:p>
                  <w:pPr>
                    <w:pStyle w:val="Compact"/>
                    <w:jc w:val="center"/>
                    <w:jc w:val="center"/>
                  </w:pPr>
                  <w:r>
                    <w:t xml:space="preserve">SBGR-SBPA</w:t>
                  </w:r>
                </w:p>
              </w:tc>
              <w:tc>
                <w:tcPr/>
                <w:p>
                  <w:pPr>
                    <w:pStyle w:val="Compact"/>
                    <w:jc w:val="center"/>
                    <w:jc w:val="center"/>
                  </w:pPr>
                  <w:r>
                    <w:t xml:space="preserve">2950</w:t>
                  </w:r>
                </w:p>
              </w:tc>
              <w:tc>
                <w:tcPr/>
                <w:p>
                  <w:pPr>
                    <w:pStyle w:val="Compact"/>
                    <w:jc w:val="center"/>
                    <w:jc w:val="center"/>
                  </w:pPr>
                  <w:r>
                    <w:t xml:space="preserve">6462</w:t>
                  </w:r>
                </w:p>
              </w:tc>
              <w:tc>
                <w:tcPr/>
                <w:p>
                  <w:pPr>
                    <w:pStyle w:val="Compact"/>
                    <w:jc w:val="center"/>
                    <w:jc w:val="center"/>
                  </w:pPr>
                  <w:r>
                    <w:t xml:space="preserve">102.30</w:t>
                  </w:r>
                </w:p>
              </w:tc>
              <w:tc>
                <w:tcPr/>
                <w:p>
                  <w:pPr>
                    <w:pStyle w:val="Compact"/>
                    <w:jc w:val="center"/>
                    <w:jc w:val="center"/>
                  </w:pPr>
                  <w:r>
                    <w:t xml:space="preserve">100.10</w:t>
                  </w:r>
                </w:p>
              </w:tc>
              <w:tc>
                <w:tcPr/>
                <w:p>
                  <w:pPr>
                    <w:pStyle w:val="Compact"/>
                    <w:jc w:val="center"/>
                    <w:jc w:val="center"/>
                  </w:pPr>
                  <w:r>
                    <w:t xml:space="preserve">5.80</w:t>
                  </w:r>
                </w:p>
              </w:tc>
              <w:tc>
                <w:tcPr/>
                <w:p>
                  <w:pPr>
                    <w:pStyle w:val="Compact"/>
                    <w:jc w:val="center"/>
                    <w:jc w:val="center"/>
                  </w:pPr>
                  <w:r>
                    <w:t xml:space="preserve">5.70</w:t>
                  </w:r>
                </w:p>
              </w:tc>
              <w:tc>
                <w:tcPr/>
                <w:p>
                  <w:pPr>
                    <w:pStyle w:val="Compact"/>
                    <w:jc w:val="center"/>
                    <w:jc w:val="center"/>
                  </w:pPr>
                  <w:r>
                    <w:t xml:space="preserve">-1.7%%</w:t>
                  </w:r>
                </w:p>
              </w:tc>
            </w:tr>
            <w:tr>
              <w:tc>
                <w:tcPr/>
                <w:p>
                  <w:pPr>
                    <w:pStyle w:val="Compact"/>
                    <w:jc w:val="center"/>
                    <w:jc w:val="center"/>
                  </w:pPr>
                  <w:r>
                    <w:t xml:space="preserve">10</w:t>
                  </w:r>
                </w:p>
              </w:tc>
              <w:tc>
                <w:tcPr/>
                <w:p>
                  <w:pPr>
                    <w:pStyle w:val="Compact"/>
                    <w:jc w:val="center"/>
                    <w:jc w:val="center"/>
                  </w:pPr>
                  <w:r>
                    <w:t xml:space="preserve">SBPA-SBGR</w:t>
                  </w:r>
                </w:p>
              </w:tc>
              <w:tc>
                <w:tcPr/>
                <w:p>
                  <w:pPr>
                    <w:pStyle w:val="Compact"/>
                    <w:jc w:val="center"/>
                    <w:jc w:val="center"/>
                  </w:pPr>
                  <w:r>
                    <w:t xml:space="preserve">2955</w:t>
                  </w:r>
                </w:p>
              </w:tc>
              <w:tc>
                <w:tcPr/>
                <w:p>
                  <w:pPr>
                    <w:pStyle w:val="Compact"/>
                    <w:jc w:val="center"/>
                    <w:jc w:val="center"/>
                  </w:pPr>
                  <w:r>
                    <w:t xml:space="preserve">6451</w:t>
                  </w:r>
                </w:p>
              </w:tc>
              <w:tc>
                <w:tcPr/>
                <w:p>
                  <w:pPr>
                    <w:pStyle w:val="Compact"/>
                    <w:jc w:val="center"/>
                    <w:jc w:val="center"/>
                  </w:pPr>
                  <w:r>
                    <w:t xml:space="preserve">105.60</w:t>
                  </w:r>
                </w:p>
              </w:tc>
              <w:tc>
                <w:tcPr/>
                <w:p>
                  <w:pPr>
                    <w:pStyle w:val="Compact"/>
                    <w:jc w:val="center"/>
                    <w:jc w:val="center"/>
                  </w:pPr>
                  <w:r>
                    <w:t xml:space="preserve">103.60</w:t>
                  </w:r>
                </w:p>
              </w:tc>
              <w:tc>
                <w:tcPr/>
                <w:p>
                  <w:pPr>
                    <w:pStyle w:val="Compact"/>
                    <w:jc w:val="center"/>
                    <w:jc w:val="center"/>
                  </w:pPr>
                  <w:r>
                    <w:t xml:space="preserve">7.30</w:t>
                  </w:r>
                </w:p>
              </w:tc>
              <w:tc>
                <w:tcPr/>
                <w:p>
                  <w:pPr>
                    <w:pStyle w:val="Compact"/>
                    <w:jc w:val="center"/>
                    <w:jc w:val="center"/>
                  </w:pPr>
                  <w:r>
                    <w:t xml:space="preserve">7.60</w:t>
                  </w:r>
                </w:p>
              </w:tc>
              <w:tc>
                <w:tcPr/>
                <w:p>
                  <w:pPr>
                    <w:pStyle w:val="Compact"/>
                    <w:jc w:val="center"/>
                    <w:jc w:val="center"/>
                  </w:pPr>
                  <w:r>
                    <w:t xml:space="preserve">4.1%%</w:t>
                  </w:r>
                </w:p>
              </w:tc>
            </w:tr>
            <w:tr>
              <w:tc>
                <w:tcPr/>
                <w:p>
                  <w:pPr>
                    <w:pStyle w:val="Compact"/>
                    <w:jc w:val="center"/>
                    <w:jc w:val="center"/>
                  </w:pPr>
                  <w:r>
                    <w:t xml:space="preserve">11</w:t>
                  </w:r>
                </w:p>
              </w:tc>
              <w:tc>
                <w:tcPr/>
                <w:p>
                  <w:pPr>
                    <w:pStyle w:val="Compact"/>
                    <w:jc w:val="center"/>
                    <w:jc w:val="center"/>
                  </w:pPr>
                  <w:r>
                    <w:t xml:space="preserve">SBGR-SBRF</w:t>
                  </w:r>
                </w:p>
              </w:tc>
              <w:tc>
                <w:tcPr/>
                <w:p>
                  <w:pPr>
                    <w:pStyle w:val="Compact"/>
                    <w:jc w:val="center"/>
                    <w:jc w:val="center"/>
                  </w:pPr>
                  <w:r>
                    <w:t xml:space="preserve">6381</w:t>
                  </w:r>
                </w:p>
              </w:tc>
              <w:tc>
                <w:tcPr/>
                <w:p>
                  <w:pPr>
                    <w:pStyle w:val="Compact"/>
                    <w:jc w:val="center"/>
                    <w:jc w:val="center"/>
                  </w:pPr>
                  <w:r>
                    <w:t xml:space="preserve">6058</w:t>
                  </w:r>
                </w:p>
              </w:tc>
              <w:tc>
                <w:tcPr/>
                <w:p>
                  <w:pPr>
                    <w:pStyle w:val="Compact"/>
                    <w:jc w:val="center"/>
                    <w:jc w:val="center"/>
                  </w:pPr>
                  <w:r>
                    <w:t xml:space="preserve">180.20</w:t>
                  </w:r>
                </w:p>
              </w:tc>
              <w:tc>
                <w:tcPr/>
                <w:p>
                  <w:pPr>
                    <w:pStyle w:val="Compact"/>
                    <w:jc w:val="center"/>
                    <w:jc w:val="center"/>
                  </w:pPr>
                  <w:r>
                    <w:t xml:space="preserve">178.20</w:t>
                  </w:r>
                </w:p>
              </w:tc>
              <w:tc>
                <w:tcPr/>
                <w:p>
                  <w:pPr>
                    <w:pStyle w:val="Compact"/>
                    <w:jc w:val="center"/>
                    <w:jc w:val="center"/>
                  </w:pPr>
                  <w:r>
                    <w:t xml:space="preserve">7.00</w:t>
                  </w:r>
                </w:p>
              </w:tc>
              <w:tc>
                <w:tcPr/>
                <w:p>
                  <w:pPr>
                    <w:pStyle w:val="Compact"/>
                    <w:jc w:val="center"/>
                    <w:jc w:val="center"/>
                  </w:pPr>
                  <w:r>
                    <w:t xml:space="preserve">7.10</w:t>
                  </w:r>
                </w:p>
              </w:tc>
              <w:tc>
                <w:tcPr/>
                <w:p>
                  <w:pPr>
                    <w:pStyle w:val="Compact"/>
                    <w:jc w:val="center"/>
                    <w:jc w:val="center"/>
                  </w:pPr>
                  <w:r>
                    <w:t xml:space="preserve">1.4%%</w:t>
                  </w:r>
                </w:p>
              </w:tc>
            </w:tr>
            <w:tr>
              <w:tc>
                <w:tcPr/>
                <w:p>
                  <w:pPr>
                    <w:pStyle w:val="Compact"/>
                    <w:jc w:val="center"/>
                    <w:jc w:val="center"/>
                  </w:pPr>
                  <w:r>
                    <w:t xml:space="preserve">12</w:t>
                  </w:r>
                </w:p>
              </w:tc>
              <w:tc>
                <w:tcPr/>
                <w:p>
                  <w:pPr>
                    <w:pStyle w:val="Compact"/>
                    <w:jc w:val="center"/>
                    <w:jc w:val="center"/>
                  </w:pPr>
                  <w:r>
                    <w:t xml:space="preserve">SBRF-SBGR</w:t>
                  </w:r>
                </w:p>
              </w:tc>
              <w:tc>
                <w:tcPr/>
                <w:p>
                  <w:pPr>
                    <w:pStyle w:val="Compact"/>
                    <w:jc w:val="center"/>
                    <w:jc w:val="center"/>
                  </w:pPr>
                  <w:r>
                    <w:t xml:space="preserve">6078</w:t>
                  </w:r>
                </w:p>
              </w:tc>
              <w:tc>
                <w:tcPr/>
                <w:p>
                  <w:pPr>
                    <w:pStyle w:val="Compact"/>
                    <w:jc w:val="center"/>
                    <w:jc w:val="center"/>
                  </w:pPr>
                  <w:r>
                    <w:t xml:space="preserve">5937</w:t>
                  </w:r>
                </w:p>
              </w:tc>
              <w:tc>
                <w:tcPr/>
                <w:p>
                  <w:pPr>
                    <w:pStyle w:val="Compact"/>
                    <w:jc w:val="center"/>
                    <w:jc w:val="center"/>
                  </w:pPr>
                  <w:r>
                    <w:t xml:space="preserve">193.00</w:t>
                  </w:r>
                </w:p>
              </w:tc>
              <w:tc>
                <w:tcPr/>
                <w:p>
                  <w:pPr>
                    <w:pStyle w:val="Compact"/>
                    <w:jc w:val="center"/>
                    <w:jc w:val="center"/>
                  </w:pPr>
                  <w:r>
                    <w:t xml:space="preserve">195.00</w:t>
                  </w:r>
                </w:p>
              </w:tc>
              <w:tc>
                <w:tcPr/>
                <w:p>
                  <w:pPr>
                    <w:pStyle w:val="Compact"/>
                    <w:jc w:val="center"/>
                    <w:jc w:val="center"/>
                  </w:pPr>
                  <w:r>
                    <w:t xml:space="preserve">7.30</w:t>
                  </w:r>
                </w:p>
              </w:tc>
              <w:tc>
                <w:tcPr/>
                <w:p>
                  <w:pPr>
                    <w:pStyle w:val="Compact"/>
                    <w:jc w:val="center"/>
                    <w:jc w:val="center"/>
                  </w:pPr>
                  <w:r>
                    <w:t xml:space="preserve">8.00</w:t>
                  </w:r>
                </w:p>
              </w:tc>
              <w:tc>
                <w:tcPr/>
                <w:p>
                  <w:pPr>
                    <w:pStyle w:val="Compact"/>
                    <w:jc w:val="center"/>
                    <w:jc w:val="center"/>
                  </w:pPr>
                  <w:r>
                    <w:t xml:space="preserve">9.6%%</w:t>
                  </w:r>
                </w:p>
              </w:tc>
            </w:tr>
            <w:tr>
              <w:tc>
                <w:tcPr/>
                <w:p>
                  <w:pPr>
                    <w:pStyle w:val="Compact"/>
                    <w:jc w:val="center"/>
                    <w:jc w:val="center"/>
                  </w:pPr>
                  <w:r>
                    <w:t xml:space="preserve">13</w:t>
                  </w:r>
                </w:p>
              </w:tc>
              <w:tc>
                <w:tcPr/>
                <w:p>
                  <w:pPr>
                    <w:pStyle w:val="Compact"/>
                    <w:jc w:val="center"/>
                    <w:jc w:val="center"/>
                  </w:pPr>
                  <w:r>
                    <w:t xml:space="preserve">SBCF-SBGR</w:t>
                  </w:r>
                </w:p>
              </w:tc>
              <w:tc>
                <w:tcPr/>
                <w:p>
                  <w:pPr>
                    <w:pStyle w:val="Compact"/>
                    <w:jc w:val="center"/>
                    <w:jc w:val="center"/>
                  </w:pPr>
                  <w:r>
                    <w:t xml:space="preserve">5673</w:t>
                  </w:r>
                </w:p>
              </w:tc>
              <w:tc>
                <w:tcPr/>
                <w:p>
                  <w:pPr>
                    <w:pStyle w:val="Compact"/>
                    <w:jc w:val="center"/>
                    <w:jc w:val="center"/>
                  </w:pPr>
                  <w:r>
                    <w:t xml:space="preserve">5403</w:t>
                  </w:r>
                </w:p>
              </w:tc>
              <w:tc>
                <w:tcPr/>
                <w:p>
                  <w:pPr>
                    <w:pStyle w:val="Compact"/>
                    <w:jc w:val="center"/>
                    <w:jc w:val="center"/>
                  </w:pPr>
                  <w:r>
                    <w:t xml:space="preserve">74.70</w:t>
                  </w:r>
                </w:p>
              </w:tc>
              <w:tc>
                <w:tcPr/>
                <w:p>
                  <w:pPr>
                    <w:pStyle w:val="Compact"/>
                    <w:jc w:val="center"/>
                    <w:jc w:val="center"/>
                  </w:pPr>
                  <w:r>
                    <w:t xml:space="preserve">75.00</w:t>
                  </w:r>
                </w:p>
              </w:tc>
              <w:tc>
                <w:tcPr/>
                <w:p>
                  <w:pPr>
                    <w:pStyle w:val="Compact"/>
                    <w:jc w:val="center"/>
                    <w:jc w:val="center"/>
                  </w:pPr>
                  <w:r>
                    <w:t xml:space="preserve">5.90</w:t>
                  </w:r>
                </w:p>
              </w:tc>
              <w:tc>
                <w:tcPr/>
                <w:p>
                  <w:pPr>
                    <w:pStyle w:val="Compact"/>
                    <w:jc w:val="center"/>
                    <w:jc w:val="center"/>
                  </w:pPr>
                  <w:r>
                    <w:t xml:space="preserve">6.50</w:t>
                  </w:r>
                </w:p>
              </w:tc>
              <w:tc>
                <w:tcPr/>
                <w:p>
                  <w:pPr>
                    <w:pStyle w:val="Compact"/>
                    <w:jc w:val="center"/>
                    <w:jc w:val="center"/>
                  </w:pPr>
                  <w:r>
                    <w:t xml:space="preserve">10.2%%</w:t>
                  </w:r>
                </w:p>
              </w:tc>
            </w:tr>
            <w:tr>
              <w:tc>
                <w:tcPr/>
                <w:p>
                  <w:pPr>
                    <w:pStyle w:val="Compact"/>
                    <w:jc w:val="center"/>
                    <w:jc w:val="center"/>
                  </w:pPr>
                  <w:r>
                    <w:t xml:space="preserve">14</w:t>
                  </w:r>
                </w:p>
              </w:tc>
              <w:tc>
                <w:tcPr/>
                <w:p>
                  <w:pPr>
                    <w:pStyle w:val="Compact"/>
                    <w:jc w:val="center"/>
                    <w:jc w:val="center"/>
                  </w:pPr>
                  <w:r>
                    <w:t xml:space="preserve">SBGR-SBCF</w:t>
                  </w:r>
                </w:p>
              </w:tc>
              <w:tc>
                <w:tcPr/>
                <w:p>
                  <w:pPr>
                    <w:pStyle w:val="Compact"/>
                    <w:jc w:val="center"/>
                    <w:jc w:val="center"/>
                  </w:pPr>
                  <w:r>
                    <w:t xml:space="preserve">5391</w:t>
                  </w:r>
                </w:p>
              </w:tc>
              <w:tc>
                <w:tcPr/>
                <w:p>
                  <w:pPr>
                    <w:pStyle w:val="Compact"/>
                    <w:jc w:val="center"/>
                    <w:jc w:val="center"/>
                  </w:pPr>
                  <w:r>
                    <w:t xml:space="preserve">5282</w:t>
                  </w:r>
                </w:p>
              </w:tc>
              <w:tc>
                <w:tcPr/>
                <w:p>
                  <w:pPr>
                    <w:pStyle w:val="Compact"/>
                    <w:jc w:val="center"/>
                    <w:jc w:val="center"/>
                  </w:pPr>
                  <w:r>
                    <w:t xml:space="preserve">68.20</w:t>
                  </w:r>
                </w:p>
              </w:tc>
              <w:tc>
                <w:tcPr/>
                <w:p>
                  <w:pPr>
                    <w:pStyle w:val="Compact"/>
                    <w:jc w:val="center"/>
                    <w:jc w:val="center"/>
                  </w:pPr>
                  <w:r>
                    <w:t xml:space="preserve">67.70</w:t>
                  </w:r>
                </w:p>
              </w:tc>
              <w:tc>
                <w:tcPr/>
                <w:p>
                  <w:pPr>
                    <w:pStyle w:val="Compact"/>
                    <w:jc w:val="center"/>
                    <w:jc w:val="center"/>
                  </w:pPr>
                  <w:r>
                    <w:t xml:space="preserve">5.70</w:t>
                  </w:r>
                </w:p>
              </w:tc>
              <w:tc>
                <w:tcPr/>
                <w:p>
                  <w:pPr>
                    <w:pStyle w:val="Compact"/>
                    <w:jc w:val="center"/>
                    <w:jc w:val="center"/>
                  </w:pPr>
                  <w:r>
                    <w:t xml:space="preserve">5.80</w:t>
                  </w:r>
                </w:p>
              </w:tc>
              <w:tc>
                <w:tcPr/>
                <w:p>
                  <w:pPr>
                    <w:pStyle w:val="Compact"/>
                    <w:jc w:val="center"/>
                    <w:jc w:val="center"/>
                  </w:pPr>
                  <w:r>
                    <w:t xml:space="preserve">1.8%%</w:t>
                  </w:r>
                </w:p>
              </w:tc>
            </w:tr>
            <w:tr>
              <w:tc>
                <w:tcPr/>
                <w:p>
                  <w:pPr>
                    <w:pStyle w:val="Compact"/>
                    <w:jc w:val="center"/>
                    <w:jc w:val="center"/>
                  </w:pPr>
                  <w:r>
                    <w:t xml:space="preserve">15</w:t>
                  </w:r>
                </w:p>
              </w:tc>
              <w:tc>
                <w:tcPr/>
                <w:p>
                  <w:pPr>
                    <w:pStyle w:val="Compact"/>
                    <w:jc w:val="center"/>
                    <w:jc w:val="center"/>
                  </w:pPr>
                  <w:r>
                    <w:t xml:space="preserve">SBSP-SBSV</w:t>
                  </w:r>
                </w:p>
              </w:tc>
              <w:tc>
                <w:tcPr/>
                <w:p>
                  <w:pPr>
                    <w:pStyle w:val="Compact"/>
                    <w:jc w:val="center"/>
                    <w:jc w:val="center"/>
                  </w:pPr>
                  <w:r>
                    <w:t xml:space="preserve">5317</w:t>
                  </w:r>
                </w:p>
              </w:tc>
              <w:tc>
                <w:tcPr/>
                <w:p>
                  <w:pPr>
                    <w:pStyle w:val="Compact"/>
                    <w:jc w:val="center"/>
                    <w:jc w:val="center"/>
                  </w:pPr>
                  <w:r>
                    <w:t xml:space="preserve">5202</w:t>
                  </w:r>
                </w:p>
              </w:tc>
              <w:tc>
                <w:tcPr/>
                <w:p>
                  <w:pPr>
                    <w:pStyle w:val="Compact"/>
                    <w:jc w:val="center"/>
                    <w:jc w:val="center"/>
                  </w:pPr>
                  <w:r>
                    <w:t xml:space="preserve">139.80</w:t>
                  </w:r>
                </w:p>
              </w:tc>
              <w:tc>
                <w:tcPr/>
                <w:p>
                  <w:pPr>
                    <w:pStyle w:val="Compact"/>
                    <w:jc w:val="center"/>
                    <w:jc w:val="center"/>
                  </w:pPr>
                  <w:r>
                    <w:t xml:space="preserve">137.10</w:t>
                  </w:r>
                </w:p>
              </w:tc>
              <w:tc>
                <w:tcPr/>
                <w:p>
                  <w:pPr>
                    <w:pStyle w:val="Compact"/>
                    <w:jc w:val="center"/>
                    <w:jc w:val="center"/>
                  </w:pPr>
                  <w:r>
                    <w:t xml:space="preserve">7.30</w:t>
                  </w:r>
                </w:p>
              </w:tc>
              <w:tc>
                <w:tcPr/>
                <w:p>
                  <w:pPr>
                    <w:pStyle w:val="Compact"/>
                    <w:jc w:val="center"/>
                    <w:jc w:val="center"/>
                  </w:pPr>
                  <w:r>
                    <w:t xml:space="preserve">6.40</w:t>
                  </w:r>
                </w:p>
              </w:tc>
              <w:tc>
                <w:tcPr/>
                <w:p>
                  <w:pPr>
                    <w:pStyle w:val="Compact"/>
                    <w:jc w:val="center"/>
                    <w:jc w:val="center"/>
                  </w:pPr>
                  <w:r>
                    <w:t xml:space="preserve">-12.3%%</w:t>
                  </w:r>
                </w:p>
              </w:tc>
            </w:tr>
            <w:tr>
              <w:tc>
                <w:tcPr/>
                <w:p>
                  <w:pPr>
                    <w:pStyle w:val="Compact"/>
                    <w:jc w:val="center"/>
                    <w:jc w:val="center"/>
                  </w:pPr>
                  <w:r>
                    <w:t xml:space="preserve">16</w:t>
                  </w:r>
                </w:p>
              </w:tc>
              <w:tc>
                <w:tcPr/>
                <w:p>
                  <w:pPr>
                    <w:pStyle w:val="Compact"/>
                    <w:jc w:val="center"/>
                    <w:jc w:val="center"/>
                  </w:pPr>
                  <w:r>
                    <w:t xml:space="preserve">SBGR-SBGL</w:t>
                  </w:r>
                </w:p>
              </w:tc>
              <w:tc>
                <w:tcPr/>
                <w:p>
                  <w:pPr>
                    <w:pStyle w:val="Compact"/>
                    <w:jc w:val="center"/>
                    <w:jc w:val="center"/>
                  </w:pPr>
                  <w:r>
                    <w:t xml:space="preserve">5442</w:t>
                  </w:r>
                </w:p>
              </w:tc>
              <w:tc>
                <w:tcPr/>
                <w:p>
                  <w:pPr>
                    <w:pStyle w:val="Compact"/>
                    <w:jc w:val="center"/>
                    <w:jc w:val="center"/>
                  </w:pPr>
                  <w:r>
                    <w:t xml:space="preserve">5191</w:t>
                  </w:r>
                </w:p>
              </w:tc>
              <w:tc>
                <w:tcPr/>
                <w:p>
                  <w:pPr>
                    <w:pStyle w:val="Compact"/>
                    <w:jc w:val="center"/>
                    <w:jc w:val="center"/>
                  </w:pPr>
                  <w:r>
                    <w:t xml:space="preserve">57.70</w:t>
                  </w:r>
                </w:p>
              </w:tc>
              <w:tc>
                <w:tcPr/>
                <w:p>
                  <w:pPr>
                    <w:pStyle w:val="Compact"/>
                    <w:jc w:val="center"/>
                    <w:jc w:val="center"/>
                  </w:pPr>
                  <w:r>
                    <w:t xml:space="preserve">57.10</w:t>
                  </w:r>
                </w:p>
              </w:tc>
              <w:tc>
                <w:tcPr/>
                <w:p>
                  <w:pPr>
                    <w:pStyle w:val="Compact"/>
                    <w:jc w:val="center"/>
                    <w:jc w:val="center"/>
                  </w:pPr>
                  <w:r>
                    <w:t xml:space="preserve">6.10</w:t>
                  </w:r>
                </w:p>
              </w:tc>
              <w:tc>
                <w:tcPr/>
                <w:p>
                  <w:pPr>
                    <w:pStyle w:val="Compact"/>
                    <w:jc w:val="center"/>
                    <w:jc w:val="center"/>
                  </w:pPr>
                  <w:r>
                    <w:t xml:space="preserve">5.80</w:t>
                  </w:r>
                </w:p>
              </w:tc>
              <w:tc>
                <w:tcPr/>
                <w:p>
                  <w:pPr>
                    <w:pStyle w:val="Compact"/>
                    <w:jc w:val="center"/>
                    <w:jc w:val="center"/>
                  </w:pPr>
                  <w:r>
                    <w:t xml:space="preserve">-4.9%%</w:t>
                  </w:r>
                </w:p>
              </w:tc>
            </w:tr>
            <w:tr>
              <w:tc>
                <w:tcPr/>
                <w:p>
                  <w:pPr>
                    <w:pStyle w:val="Compact"/>
                    <w:jc w:val="center"/>
                    <w:jc w:val="center"/>
                  </w:pPr>
                  <w:r>
                    <w:t xml:space="preserve">17</w:t>
                  </w:r>
                </w:p>
              </w:tc>
              <w:tc>
                <w:tcPr/>
                <w:p>
                  <w:pPr>
                    <w:pStyle w:val="Compact"/>
                    <w:jc w:val="center"/>
                    <w:jc w:val="center"/>
                  </w:pPr>
                  <w:r>
                    <w:t xml:space="preserve">SBSV-SBSP</w:t>
                  </w:r>
                </w:p>
              </w:tc>
              <w:tc>
                <w:tcPr/>
                <w:p>
                  <w:pPr>
                    <w:pStyle w:val="Compact"/>
                    <w:jc w:val="center"/>
                    <w:jc w:val="center"/>
                  </w:pPr>
                  <w:r>
                    <w:t xml:space="preserve">5260</w:t>
                  </w:r>
                </w:p>
              </w:tc>
              <w:tc>
                <w:tcPr/>
                <w:p>
                  <w:pPr>
                    <w:pStyle w:val="Compact"/>
                    <w:jc w:val="center"/>
                    <w:jc w:val="center"/>
                  </w:pPr>
                  <w:r>
                    <w:t xml:space="preserve">5177</w:t>
                  </w:r>
                </w:p>
              </w:tc>
              <w:tc>
                <w:tcPr/>
                <w:p>
                  <w:pPr>
                    <w:pStyle w:val="Compact"/>
                    <w:jc w:val="center"/>
                    <w:jc w:val="center"/>
                  </w:pPr>
                  <w:r>
                    <w:t xml:space="preserve">152.30</w:t>
                  </w:r>
                </w:p>
              </w:tc>
              <w:tc>
                <w:tcPr/>
                <w:p>
                  <w:pPr>
                    <w:pStyle w:val="Compact"/>
                    <w:jc w:val="center"/>
                    <w:jc w:val="center"/>
                  </w:pPr>
                  <w:r>
                    <w:t xml:space="preserve">151.10</w:t>
                  </w:r>
                </w:p>
              </w:tc>
              <w:tc>
                <w:tcPr/>
                <w:p>
                  <w:pPr>
                    <w:pStyle w:val="Compact"/>
                    <w:jc w:val="center"/>
                    <w:jc w:val="center"/>
                  </w:pPr>
                  <w:r>
                    <w:t xml:space="preserve">8.60</w:t>
                  </w:r>
                </w:p>
              </w:tc>
              <w:tc>
                <w:tcPr/>
                <w:p>
                  <w:pPr>
                    <w:pStyle w:val="Compact"/>
                    <w:jc w:val="center"/>
                    <w:jc w:val="center"/>
                  </w:pPr>
                  <w:r>
                    <w:t xml:space="preserve">8.00</w:t>
                  </w:r>
                </w:p>
              </w:tc>
              <w:tc>
                <w:tcPr/>
                <w:p>
                  <w:pPr>
                    <w:pStyle w:val="Compact"/>
                    <w:jc w:val="center"/>
                    <w:jc w:val="center"/>
                  </w:pPr>
                  <w:r>
                    <w:t xml:space="preserve">-7.0%%</w:t>
                  </w:r>
                </w:p>
              </w:tc>
            </w:tr>
            <w:tr>
              <w:tc>
                <w:tcPr/>
                <w:p>
                  <w:pPr>
                    <w:pStyle w:val="Compact"/>
                    <w:jc w:val="center"/>
                    <w:jc w:val="center"/>
                  </w:pPr>
                  <w:r>
                    <w:t xml:space="preserve">18</w:t>
                  </w:r>
                </w:p>
              </w:tc>
              <w:tc>
                <w:tcPr/>
                <w:p>
                  <w:pPr>
                    <w:pStyle w:val="Compact"/>
                    <w:jc w:val="center"/>
                    <w:jc w:val="center"/>
                  </w:pPr>
                  <w:r>
                    <w:t xml:space="preserve">SBCT-SBGR</w:t>
                  </w:r>
                </w:p>
              </w:tc>
              <w:tc>
                <w:tcPr/>
                <w:p>
                  <w:pPr>
                    <w:pStyle w:val="Compact"/>
                    <w:jc w:val="center"/>
                    <w:jc w:val="center"/>
                  </w:pPr>
                  <w:r>
                    <w:t xml:space="preserve">4727</w:t>
                  </w:r>
                </w:p>
              </w:tc>
              <w:tc>
                <w:tcPr/>
                <w:p>
                  <w:pPr>
                    <w:pStyle w:val="Compact"/>
                    <w:jc w:val="center"/>
                    <w:jc w:val="center"/>
                  </w:pPr>
                  <w:r>
                    <w:t xml:space="preserve">5080</w:t>
                  </w:r>
                </w:p>
              </w:tc>
              <w:tc>
                <w:tcPr/>
                <w:p>
                  <w:pPr>
                    <w:pStyle w:val="Compact"/>
                    <w:jc w:val="center"/>
                    <w:jc w:val="center"/>
                  </w:pPr>
                  <w:r>
                    <w:t xml:space="preserve">67.20</w:t>
                  </w:r>
                </w:p>
              </w:tc>
              <w:tc>
                <w:tcPr/>
                <w:p>
                  <w:pPr>
                    <w:pStyle w:val="Compact"/>
                    <w:jc w:val="center"/>
                    <w:jc w:val="center"/>
                  </w:pPr>
                  <w:r>
                    <w:t xml:space="preserve">68.00</w:t>
                  </w:r>
                </w:p>
              </w:tc>
              <w:tc>
                <w:tcPr/>
                <w:p>
                  <w:pPr>
                    <w:pStyle w:val="Compact"/>
                    <w:jc w:val="center"/>
                    <w:jc w:val="center"/>
                  </w:pPr>
                  <w:r>
                    <w:t xml:space="preserve">6.60</w:t>
                  </w:r>
                </w:p>
              </w:tc>
              <w:tc>
                <w:tcPr/>
                <w:p>
                  <w:pPr>
                    <w:pStyle w:val="Compact"/>
                    <w:jc w:val="center"/>
                    <w:jc w:val="center"/>
                  </w:pPr>
                  <w:r>
                    <w:t xml:space="preserve">7.30</w:t>
                  </w:r>
                </w:p>
              </w:tc>
              <w:tc>
                <w:tcPr/>
                <w:p>
                  <w:pPr>
                    <w:pStyle w:val="Compact"/>
                    <w:jc w:val="center"/>
                    <w:jc w:val="center"/>
                  </w:pPr>
                  <w:r>
                    <w:t xml:space="preserve">10.6%%</w:t>
                  </w:r>
                </w:p>
              </w:tc>
            </w:tr>
            <w:tr>
              <w:tc>
                <w:tcPr/>
                <w:p>
                  <w:pPr>
                    <w:pStyle w:val="Compact"/>
                    <w:jc w:val="center"/>
                    <w:jc w:val="center"/>
                  </w:pPr>
                  <w:r>
                    <w:t xml:space="preserve">19</w:t>
                  </w:r>
                </w:p>
              </w:tc>
              <w:tc>
                <w:tcPr/>
                <w:p>
                  <w:pPr>
                    <w:pStyle w:val="Compact"/>
                    <w:jc w:val="center"/>
                    <w:jc w:val="center"/>
                  </w:pPr>
                  <w:r>
                    <w:t xml:space="preserve">SBGR-SBCT</w:t>
                  </w:r>
                </w:p>
              </w:tc>
              <w:tc>
                <w:tcPr/>
                <w:p>
                  <w:pPr>
                    <w:pStyle w:val="Compact"/>
                    <w:jc w:val="center"/>
                    <w:jc w:val="center"/>
                  </w:pPr>
                  <w:r>
                    <w:t xml:space="preserve">4655</w:t>
                  </w:r>
                </w:p>
              </w:tc>
              <w:tc>
                <w:tcPr/>
                <w:p>
                  <w:pPr>
                    <w:pStyle w:val="Compact"/>
                    <w:jc w:val="center"/>
                    <w:jc w:val="center"/>
                  </w:pPr>
                  <w:r>
                    <w:t xml:space="preserve">5047</w:t>
                  </w:r>
                </w:p>
              </w:tc>
              <w:tc>
                <w:tcPr/>
                <w:p>
                  <w:pPr>
                    <w:pStyle w:val="Compact"/>
                    <w:jc w:val="center"/>
                    <w:jc w:val="center"/>
                  </w:pPr>
                  <w:r>
                    <w:t xml:space="preserve">60.40</w:t>
                  </w:r>
                </w:p>
              </w:tc>
              <w:tc>
                <w:tcPr/>
                <w:p>
                  <w:pPr>
                    <w:pStyle w:val="Compact"/>
                    <w:jc w:val="center"/>
                    <w:jc w:val="center"/>
                  </w:pPr>
                  <w:r>
                    <w:t xml:space="preserve">60.50</w:t>
                  </w:r>
                </w:p>
              </w:tc>
              <w:tc>
                <w:tcPr/>
                <w:p>
                  <w:pPr>
                    <w:pStyle w:val="Compact"/>
                    <w:jc w:val="center"/>
                    <w:jc w:val="center"/>
                  </w:pPr>
                  <w:r>
                    <w:t xml:space="preserve">5.30</w:t>
                  </w:r>
                </w:p>
              </w:tc>
              <w:tc>
                <w:tcPr/>
                <w:p>
                  <w:pPr>
                    <w:pStyle w:val="Compact"/>
                    <w:jc w:val="center"/>
                    <w:jc w:val="center"/>
                  </w:pPr>
                  <w:r>
                    <w:t xml:space="preserve">5.60</w:t>
                  </w:r>
                </w:p>
              </w:tc>
              <w:tc>
                <w:tcPr/>
                <w:p>
                  <w:pPr>
                    <w:pStyle w:val="Compact"/>
                    <w:jc w:val="center"/>
                    <w:jc w:val="center"/>
                  </w:pPr>
                  <w:r>
                    <w:t xml:space="preserve">5.7%%</w:t>
                  </w:r>
                </w:p>
              </w:tc>
            </w:tr>
            <w:tr>
              <w:tc>
                <w:tcPr/>
                <w:p>
                  <w:pPr>
                    <w:pStyle w:val="Compact"/>
                    <w:jc w:val="center"/>
                    <w:jc w:val="center"/>
                  </w:pPr>
                  <w:r>
                    <w:t xml:space="preserve">20</w:t>
                  </w:r>
                </w:p>
              </w:tc>
              <w:tc>
                <w:tcPr/>
                <w:p>
                  <w:pPr>
                    <w:pStyle w:val="Compact"/>
                    <w:jc w:val="center"/>
                    <w:jc w:val="center"/>
                  </w:pPr>
                  <w:r>
                    <w:t xml:space="preserve">SBGR-SBBR</w:t>
                  </w:r>
                </w:p>
              </w:tc>
              <w:tc>
                <w:tcPr/>
                <w:p>
                  <w:pPr>
                    <w:pStyle w:val="Compact"/>
                    <w:jc w:val="center"/>
                    <w:jc w:val="center"/>
                  </w:pPr>
                  <w:r>
                    <w:t xml:space="preserve">4673</w:t>
                  </w:r>
                </w:p>
              </w:tc>
              <w:tc>
                <w:tcPr/>
                <w:p>
                  <w:pPr>
                    <w:pStyle w:val="Compact"/>
                    <w:jc w:val="center"/>
                    <w:jc w:val="center"/>
                  </w:pPr>
                  <w:r>
                    <w:t xml:space="preserve">4981</w:t>
                  </w:r>
                </w:p>
              </w:tc>
              <w:tc>
                <w:tcPr/>
                <w:p>
                  <w:pPr>
                    <w:pStyle w:val="Compact"/>
                    <w:jc w:val="center"/>
                    <w:jc w:val="center"/>
                  </w:pPr>
                  <w:r>
                    <w:t xml:space="preserve">99.70</w:t>
                  </w:r>
                </w:p>
              </w:tc>
              <w:tc>
                <w:tcPr/>
                <w:p>
                  <w:pPr>
                    <w:pStyle w:val="Compact"/>
                    <w:jc w:val="center"/>
                    <w:jc w:val="center"/>
                  </w:pPr>
                  <w:r>
                    <w:t xml:space="preserve">97.70</w:t>
                  </w:r>
                </w:p>
              </w:tc>
              <w:tc>
                <w:tcPr/>
                <w:p>
                  <w:pPr>
                    <w:pStyle w:val="Compact"/>
                    <w:jc w:val="center"/>
                    <w:jc w:val="center"/>
                  </w:pPr>
                  <w:r>
                    <w:t xml:space="preserve">6.30</w:t>
                  </w:r>
                </w:p>
              </w:tc>
              <w:tc>
                <w:tcPr/>
                <w:p>
                  <w:pPr>
                    <w:pStyle w:val="Compact"/>
                    <w:jc w:val="center"/>
                    <w:jc w:val="center"/>
                  </w:pPr>
                  <w:r>
                    <w:t xml:space="preserve">6.10</w:t>
                  </w:r>
                </w:p>
              </w:tc>
              <w:tc>
                <w:tcPr/>
                <w:p>
                  <w:pPr>
                    <w:pStyle w:val="Compact"/>
                    <w:jc w:val="center"/>
                    <w:jc w:val="center"/>
                  </w:pPr>
                  <w:r>
                    <w:t xml:space="preserve">-3.2%%</w:t>
                  </w:r>
                </w:p>
              </w:tc>
            </w:tr>
            <w:tr>
              <w:tc>
                <w:tcPr/>
                <w:p>
                  <w:pPr>
                    <w:pStyle w:val="Compact"/>
                    <w:jc w:val="center"/>
                    <w:jc w:val="center"/>
                  </w:pPr>
                  <w:r>
                    <w:t xml:space="preserve">21</w:t>
                  </w:r>
                </w:p>
              </w:tc>
              <w:tc>
                <w:tcPr/>
                <w:p>
                  <w:pPr>
                    <w:pStyle w:val="Compact"/>
                    <w:jc w:val="center"/>
                    <w:jc w:val="center"/>
                  </w:pPr>
                  <w:r>
                    <w:t xml:space="preserve">SBBR-SBGR</w:t>
                  </w:r>
                </w:p>
              </w:tc>
              <w:tc>
                <w:tcPr/>
                <w:p>
                  <w:pPr>
                    <w:pStyle w:val="Compact"/>
                    <w:jc w:val="center"/>
                    <w:jc w:val="center"/>
                  </w:pPr>
                  <w:r>
                    <w:t xml:space="preserve">4601</w:t>
                  </w:r>
                </w:p>
              </w:tc>
              <w:tc>
                <w:tcPr/>
                <w:p>
                  <w:pPr>
                    <w:pStyle w:val="Compact"/>
                    <w:jc w:val="center"/>
                    <w:jc w:val="center"/>
                  </w:pPr>
                  <w:r>
                    <w:t xml:space="preserve">4949</w:t>
                  </w:r>
                </w:p>
              </w:tc>
              <w:tc>
                <w:tcPr/>
                <w:p>
                  <w:pPr>
                    <w:pStyle w:val="Compact"/>
                    <w:jc w:val="center"/>
                    <w:jc w:val="center"/>
                  </w:pPr>
                  <w:r>
                    <w:t xml:space="preserve">103.30</w:t>
                  </w:r>
                </w:p>
              </w:tc>
              <w:tc>
                <w:tcPr/>
                <w:p>
                  <w:pPr>
                    <w:pStyle w:val="Compact"/>
                    <w:jc w:val="center"/>
                    <w:jc w:val="center"/>
                  </w:pPr>
                  <w:r>
                    <w:t xml:space="preserve">103.20</w:t>
                  </w:r>
                </w:p>
              </w:tc>
              <w:tc>
                <w:tcPr/>
                <w:p>
                  <w:pPr>
                    <w:pStyle w:val="Compact"/>
                    <w:jc w:val="center"/>
                    <w:jc w:val="center"/>
                  </w:pPr>
                  <w:r>
                    <w:t xml:space="preserve">6.60</w:t>
                  </w:r>
                </w:p>
              </w:tc>
              <w:tc>
                <w:tcPr/>
                <w:p>
                  <w:pPr>
                    <w:pStyle w:val="Compact"/>
                    <w:jc w:val="center"/>
                    <w:jc w:val="center"/>
                  </w:pPr>
                  <w:r>
                    <w:t xml:space="preserve">7.20</w:t>
                  </w:r>
                </w:p>
              </w:tc>
              <w:tc>
                <w:tcPr/>
                <w:p>
                  <w:pPr>
                    <w:pStyle w:val="Compact"/>
                    <w:jc w:val="center"/>
                    <w:jc w:val="center"/>
                  </w:pPr>
                  <w:r>
                    <w:t xml:space="preserve">9.1%%</w:t>
                  </w:r>
                </w:p>
              </w:tc>
            </w:tr>
            <w:tr>
              <w:tc>
                <w:tcPr/>
                <w:p>
                  <w:pPr>
                    <w:pStyle w:val="Compact"/>
                    <w:jc w:val="center"/>
                    <w:jc w:val="center"/>
                  </w:pPr>
                  <w:r>
                    <w:t xml:space="preserve">22</w:t>
                  </w:r>
                </w:p>
              </w:tc>
              <w:tc>
                <w:tcPr/>
                <w:p>
                  <w:pPr>
                    <w:pStyle w:val="Compact"/>
                    <w:jc w:val="center"/>
                    <w:jc w:val="center"/>
                  </w:pPr>
                  <w:r>
                    <w:t xml:space="preserve">SBRJ-SBBR</w:t>
                  </w:r>
                </w:p>
              </w:tc>
              <w:tc>
                <w:tcPr/>
                <w:p>
                  <w:pPr>
                    <w:pStyle w:val="Compact"/>
                    <w:jc w:val="center"/>
                    <w:jc w:val="center"/>
                  </w:pPr>
                  <w:r>
                    <w:t xml:space="preserve">3473</w:t>
                  </w:r>
                </w:p>
              </w:tc>
              <w:tc>
                <w:tcPr/>
                <w:p>
                  <w:pPr>
                    <w:pStyle w:val="Compact"/>
                    <w:jc w:val="center"/>
                    <w:jc w:val="center"/>
                  </w:pPr>
                  <w:r>
                    <w:t xml:space="preserve">4324</w:t>
                  </w:r>
                </w:p>
              </w:tc>
              <w:tc>
                <w:tcPr/>
                <w:p>
                  <w:pPr>
                    <w:pStyle w:val="Compact"/>
                    <w:jc w:val="center"/>
                    <w:jc w:val="center"/>
                  </w:pPr>
                  <w:r>
                    <w:t xml:space="preserve">103.60</w:t>
                  </w:r>
                </w:p>
              </w:tc>
              <w:tc>
                <w:tcPr/>
                <w:p>
                  <w:pPr>
                    <w:pStyle w:val="Compact"/>
                    <w:jc w:val="center"/>
                    <w:jc w:val="center"/>
                  </w:pPr>
                  <w:r>
                    <w:t xml:space="preserve">102.60</w:t>
                  </w:r>
                </w:p>
              </w:tc>
              <w:tc>
                <w:tcPr/>
                <w:p>
                  <w:pPr>
                    <w:pStyle w:val="Compact"/>
                    <w:jc w:val="center"/>
                    <w:jc w:val="center"/>
                  </w:pPr>
                  <w:r>
                    <w:t xml:space="preserve">5.60</w:t>
                  </w:r>
                </w:p>
              </w:tc>
              <w:tc>
                <w:tcPr/>
                <w:p>
                  <w:pPr>
                    <w:pStyle w:val="Compact"/>
                    <w:jc w:val="center"/>
                    <w:jc w:val="center"/>
                  </w:pPr>
                  <w:r>
                    <w:t xml:space="preserve">5.40</w:t>
                  </w:r>
                </w:p>
              </w:tc>
              <w:tc>
                <w:tcPr/>
                <w:p>
                  <w:pPr>
                    <w:pStyle w:val="Compact"/>
                    <w:jc w:val="center"/>
                    <w:jc w:val="center"/>
                  </w:pPr>
                  <w:r>
                    <w:t xml:space="preserve">-3.6%%</w:t>
                  </w:r>
                </w:p>
              </w:tc>
            </w:tr>
            <w:tr>
              <w:tc>
                <w:tcPr/>
                <w:p>
                  <w:pPr>
                    <w:pStyle w:val="Compact"/>
                    <w:jc w:val="center"/>
                    <w:jc w:val="center"/>
                  </w:pPr>
                  <w:r>
                    <w:t xml:space="preserve">23</w:t>
                  </w:r>
                </w:p>
              </w:tc>
              <w:tc>
                <w:tcPr/>
                <w:p>
                  <w:pPr>
                    <w:pStyle w:val="Compact"/>
                    <w:jc w:val="center"/>
                    <w:jc w:val="center"/>
                  </w:pPr>
                  <w:r>
                    <w:t xml:space="preserve">SBBR-SBRJ</w:t>
                  </w:r>
                </w:p>
              </w:tc>
              <w:tc>
                <w:tcPr/>
                <w:p>
                  <w:pPr>
                    <w:pStyle w:val="Compact"/>
                    <w:jc w:val="center"/>
                    <w:jc w:val="center"/>
                  </w:pPr>
                  <w:r>
                    <w:t xml:space="preserve">3461</w:t>
                  </w:r>
                </w:p>
              </w:tc>
              <w:tc>
                <w:tcPr/>
                <w:p>
                  <w:pPr>
                    <w:pStyle w:val="Compact"/>
                    <w:jc w:val="center"/>
                    <w:jc w:val="center"/>
                  </w:pPr>
                  <w:r>
                    <w:t xml:space="preserve">4313</w:t>
                  </w:r>
                </w:p>
              </w:tc>
              <w:tc>
                <w:tcPr/>
                <w:p>
                  <w:pPr>
                    <w:pStyle w:val="Compact"/>
                    <w:jc w:val="center"/>
                    <w:jc w:val="center"/>
                  </w:pPr>
                  <w:r>
                    <w:t xml:space="preserve">99.60</w:t>
                  </w:r>
                </w:p>
              </w:tc>
              <w:tc>
                <w:tcPr/>
                <w:p>
                  <w:pPr>
                    <w:pStyle w:val="Compact"/>
                    <w:jc w:val="center"/>
                    <w:jc w:val="center"/>
                  </w:pPr>
                  <w:r>
                    <w:t xml:space="preserve">98.50</w:t>
                  </w:r>
                </w:p>
              </w:tc>
              <w:tc>
                <w:tcPr/>
                <w:p>
                  <w:pPr>
                    <w:pStyle w:val="Compact"/>
                    <w:jc w:val="center"/>
                    <w:jc w:val="center"/>
                  </w:pPr>
                  <w:r>
                    <w:t xml:space="preserve">5.70</w:t>
                  </w:r>
                </w:p>
              </w:tc>
              <w:tc>
                <w:tcPr/>
                <w:p>
                  <w:pPr>
                    <w:pStyle w:val="Compact"/>
                    <w:jc w:val="center"/>
                    <w:jc w:val="center"/>
                  </w:pPr>
                  <w:r>
                    <w:t xml:space="preserve">5.40</w:t>
                  </w:r>
                </w:p>
              </w:tc>
              <w:tc>
                <w:tcPr/>
                <w:p>
                  <w:pPr>
                    <w:pStyle w:val="Compact"/>
                    <w:jc w:val="center"/>
                    <w:jc w:val="center"/>
                  </w:pPr>
                  <w:r>
                    <w:t xml:space="preserve">-5.3%%</w:t>
                  </w:r>
                </w:p>
              </w:tc>
            </w:tr>
            <w:tr>
              <w:tc>
                <w:tcPr/>
                <w:p>
                  <w:pPr>
                    <w:pStyle w:val="Compact"/>
                    <w:jc w:val="center"/>
                    <w:jc w:val="center"/>
                  </w:pPr>
                  <w:r>
                    <w:t xml:space="preserve">24</w:t>
                  </w:r>
                </w:p>
              </w:tc>
              <w:tc>
                <w:tcPr/>
                <w:p>
                  <w:pPr>
                    <w:pStyle w:val="Compact"/>
                    <w:jc w:val="center"/>
                    <w:jc w:val="center"/>
                  </w:pPr>
                  <w:r>
                    <w:t xml:space="preserve">SBGR-SBSV</w:t>
                  </w:r>
                </w:p>
              </w:tc>
              <w:tc>
                <w:tcPr/>
                <w:p>
                  <w:pPr>
                    <w:pStyle w:val="Compact"/>
                    <w:jc w:val="center"/>
                    <w:jc w:val="center"/>
                  </w:pPr>
                  <w:r>
                    <w:t xml:space="preserve">3967</w:t>
                  </w:r>
                </w:p>
              </w:tc>
              <w:tc>
                <w:tcPr/>
                <w:p>
                  <w:pPr>
                    <w:pStyle w:val="Compact"/>
                    <w:jc w:val="center"/>
                    <w:jc w:val="center"/>
                  </w:pPr>
                  <w:r>
                    <w:t xml:space="preserve">4301</w:t>
                  </w:r>
                </w:p>
              </w:tc>
              <w:tc>
                <w:tcPr/>
                <w:p>
                  <w:pPr>
                    <w:pStyle w:val="Compact"/>
                    <w:jc w:val="center"/>
                    <w:jc w:val="center"/>
                  </w:pPr>
                  <w:r>
                    <w:t xml:space="preserve">134.80</w:t>
                  </w:r>
                </w:p>
              </w:tc>
              <w:tc>
                <w:tcPr/>
                <w:p>
                  <w:pPr>
                    <w:pStyle w:val="Compact"/>
                    <w:jc w:val="center"/>
                    <w:jc w:val="center"/>
                  </w:pPr>
                  <w:r>
                    <w:t xml:space="preserve">133.40</w:t>
                  </w:r>
                </w:p>
              </w:tc>
              <w:tc>
                <w:tcPr/>
                <w:p>
                  <w:pPr>
                    <w:pStyle w:val="Compact"/>
                    <w:jc w:val="center"/>
                    <w:jc w:val="center"/>
                  </w:pPr>
                  <w:r>
                    <w:t xml:space="preserve">6.60</w:t>
                  </w:r>
                </w:p>
              </w:tc>
              <w:tc>
                <w:tcPr/>
                <w:p>
                  <w:pPr>
                    <w:pStyle w:val="Compact"/>
                    <w:jc w:val="center"/>
                    <w:jc w:val="center"/>
                  </w:pPr>
                  <w:r>
                    <w:t xml:space="preserve">6.70</w:t>
                  </w:r>
                </w:p>
              </w:tc>
              <w:tc>
                <w:tcPr/>
                <w:p>
                  <w:pPr>
                    <w:pStyle w:val="Compact"/>
                    <w:jc w:val="center"/>
                    <w:jc w:val="center"/>
                  </w:pPr>
                  <w:r>
                    <w:t xml:space="preserve">1.5%%</w:t>
                  </w:r>
                </w:p>
              </w:tc>
            </w:tr>
            <w:tr>
              <w:tc>
                <w:tcPr/>
                <w:p>
                  <w:pPr>
                    <w:pStyle w:val="Compact"/>
                    <w:jc w:val="center"/>
                    <w:jc w:val="center"/>
                  </w:pPr>
                  <w:r>
                    <w:t xml:space="preserve">25</w:t>
                  </w:r>
                </w:p>
              </w:tc>
              <w:tc>
                <w:tcPr/>
                <w:p>
                  <w:pPr>
                    <w:pStyle w:val="Compact"/>
                    <w:jc w:val="center"/>
                    <w:jc w:val="center"/>
                  </w:pPr>
                  <w:r>
                    <w:t xml:space="preserve">SBFZ-SBGR</w:t>
                  </w:r>
                </w:p>
              </w:tc>
              <w:tc>
                <w:tcPr/>
                <w:p>
                  <w:pPr>
                    <w:pStyle w:val="Compact"/>
                    <w:jc w:val="center"/>
                    <w:jc w:val="center"/>
                  </w:pPr>
                  <w:r>
                    <w:t xml:space="preserve">3854</w:t>
                  </w:r>
                </w:p>
              </w:tc>
              <w:tc>
                <w:tcPr/>
                <w:p>
                  <w:pPr>
                    <w:pStyle w:val="Compact"/>
                    <w:jc w:val="center"/>
                    <w:jc w:val="center"/>
                  </w:pPr>
                  <w:r>
                    <w:t xml:space="preserve">4154</w:t>
                  </w:r>
                </w:p>
              </w:tc>
              <w:tc>
                <w:tcPr/>
                <w:p>
                  <w:pPr>
                    <w:pStyle w:val="Compact"/>
                    <w:jc w:val="center"/>
                    <w:jc w:val="center"/>
                  </w:pPr>
                  <w:r>
                    <w:t xml:space="preserve">208.40</w:t>
                  </w:r>
                </w:p>
              </w:tc>
              <w:tc>
                <w:tcPr/>
                <w:p>
                  <w:pPr>
                    <w:pStyle w:val="Compact"/>
                    <w:jc w:val="center"/>
                    <w:jc w:val="center"/>
                  </w:pPr>
                  <w:r>
                    <w:t xml:space="preserve">200.90</w:t>
                  </w:r>
                </w:p>
              </w:tc>
              <w:tc>
                <w:tcPr/>
                <w:p>
                  <w:pPr>
                    <w:pStyle w:val="Compact"/>
                    <w:jc w:val="center"/>
                    <w:jc w:val="center"/>
                  </w:pPr>
                  <w:r>
                    <w:t xml:space="preserve">7.50</w:t>
                  </w:r>
                </w:p>
              </w:tc>
              <w:tc>
                <w:tcPr/>
                <w:p>
                  <w:pPr>
                    <w:pStyle w:val="Compact"/>
                    <w:jc w:val="center"/>
                    <w:jc w:val="center"/>
                  </w:pPr>
                  <w:r>
                    <w:t xml:space="preserve">8.10</w:t>
                  </w:r>
                </w:p>
              </w:tc>
              <w:tc>
                <w:tcPr/>
                <w:p>
                  <w:pPr>
                    <w:pStyle w:val="Compact"/>
                    <w:jc w:val="center"/>
                    <w:jc w:val="center"/>
                  </w:pPr>
                  <w:r>
                    <w:t xml:space="preserve">8.0%%</w:t>
                  </w:r>
                </w:p>
              </w:tc>
            </w:tr>
            <w:tr>
              <w:tc>
                <w:tcPr/>
                <w:p>
                  <w:pPr>
                    <w:pStyle w:val="Compact"/>
                    <w:jc w:val="center"/>
                    <w:jc w:val="center"/>
                  </w:pPr>
                  <w:r>
                    <w:t xml:space="preserve">26</w:t>
                  </w:r>
                </w:p>
              </w:tc>
              <w:tc>
                <w:tcPr/>
                <w:p>
                  <w:pPr>
                    <w:pStyle w:val="Compact"/>
                    <w:jc w:val="center"/>
                    <w:jc w:val="center"/>
                  </w:pPr>
                  <w:r>
                    <w:t xml:space="preserve">SBSV-SBGR</w:t>
                  </w:r>
                </w:p>
              </w:tc>
              <w:tc>
                <w:tcPr/>
                <w:p>
                  <w:pPr>
                    <w:pStyle w:val="Compact"/>
                    <w:jc w:val="center"/>
                    <w:jc w:val="center"/>
                  </w:pPr>
                  <w:r>
                    <w:t xml:space="preserve">3736</w:t>
                  </w:r>
                </w:p>
              </w:tc>
              <w:tc>
                <w:tcPr/>
                <w:p>
                  <w:pPr>
                    <w:pStyle w:val="Compact"/>
                    <w:jc w:val="center"/>
                    <w:jc w:val="center"/>
                  </w:pPr>
                  <w:r>
                    <w:t xml:space="preserve">4147</w:t>
                  </w:r>
                </w:p>
              </w:tc>
              <w:tc>
                <w:tcPr/>
                <w:p>
                  <w:pPr>
                    <w:pStyle w:val="Compact"/>
                    <w:jc w:val="center"/>
                    <w:jc w:val="center"/>
                  </w:pPr>
                  <w:r>
                    <w:t xml:space="preserve">146.10</w:t>
                  </w:r>
                </w:p>
              </w:tc>
              <w:tc>
                <w:tcPr/>
                <w:p>
                  <w:pPr>
                    <w:pStyle w:val="Compact"/>
                    <w:jc w:val="center"/>
                    <w:jc w:val="center"/>
                  </w:pPr>
                  <w:r>
                    <w:t xml:space="preserve">146.80</w:t>
                  </w:r>
                </w:p>
              </w:tc>
              <w:tc>
                <w:tcPr/>
                <w:p>
                  <w:pPr>
                    <w:pStyle w:val="Compact"/>
                    <w:jc w:val="center"/>
                    <w:jc w:val="center"/>
                  </w:pPr>
                  <w:r>
                    <w:t xml:space="preserve">6.90</w:t>
                  </w:r>
                </w:p>
              </w:tc>
              <w:tc>
                <w:tcPr/>
                <w:p>
                  <w:pPr>
                    <w:pStyle w:val="Compact"/>
                    <w:jc w:val="center"/>
                    <w:jc w:val="center"/>
                  </w:pPr>
                  <w:r>
                    <w:t xml:space="preserve">7.40</w:t>
                  </w:r>
                </w:p>
              </w:tc>
              <w:tc>
                <w:tcPr/>
                <w:p>
                  <w:pPr>
                    <w:pStyle w:val="Compact"/>
                    <w:jc w:val="center"/>
                    <w:jc w:val="center"/>
                  </w:pPr>
                  <w:r>
                    <w:t xml:space="preserve">7.2%%</w:t>
                  </w:r>
                </w:p>
              </w:tc>
            </w:tr>
            <w:tr>
              <w:tc>
                <w:tcPr/>
                <w:p>
                  <w:pPr>
                    <w:pStyle w:val="Compact"/>
                    <w:jc w:val="center"/>
                    <w:jc w:val="center"/>
                  </w:pPr>
                  <w:r>
                    <w:t xml:space="preserve">27</w:t>
                  </w:r>
                </w:p>
              </w:tc>
              <w:tc>
                <w:tcPr/>
                <w:p>
                  <w:pPr>
                    <w:pStyle w:val="Compact"/>
                    <w:jc w:val="center"/>
                    <w:jc w:val="center"/>
                  </w:pPr>
                  <w:r>
                    <w:t xml:space="preserve">SBSP-SBRF</w:t>
                  </w:r>
                </w:p>
              </w:tc>
              <w:tc>
                <w:tcPr/>
                <w:p>
                  <w:pPr>
                    <w:pStyle w:val="Compact"/>
                    <w:jc w:val="center"/>
                    <w:jc w:val="center"/>
                  </w:pPr>
                  <w:r>
                    <w:t xml:space="preserve">3787</w:t>
                  </w:r>
                </w:p>
              </w:tc>
              <w:tc>
                <w:tcPr/>
                <w:p>
                  <w:pPr>
                    <w:pStyle w:val="Compact"/>
                    <w:jc w:val="center"/>
                    <w:jc w:val="center"/>
                  </w:pPr>
                  <w:r>
                    <w:t xml:space="preserve">3898</w:t>
                  </w:r>
                </w:p>
              </w:tc>
              <w:tc>
                <w:tcPr/>
                <w:p>
                  <w:pPr>
                    <w:pStyle w:val="Compact"/>
                    <w:jc w:val="center"/>
                    <w:jc w:val="center"/>
                  </w:pPr>
                  <w:r>
                    <w:t xml:space="preserve">184.90</w:t>
                  </w:r>
                </w:p>
              </w:tc>
              <w:tc>
                <w:tcPr/>
                <w:p>
                  <w:pPr>
                    <w:pStyle w:val="Compact"/>
                    <w:jc w:val="center"/>
                    <w:jc w:val="center"/>
                  </w:pPr>
                  <w:r>
                    <w:t xml:space="preserve">181.80</w:t>
                  </w:r>
                </w:p>
              </w:tc>
              <w:tc>
                <w:tcPr/>
                <w:p>
                  <w:pPr>
                    <w:pStyle w:val="Compact"/>
                    <w:jc w:val="center"/>
                    <w:jc w:val="center"/>
                  </w:pPr>
                  <w:r>
                    <w:t xml:space="preserve">7.60</w:t>
                  </w:r>
                </w:p>
              </w:tc>
              <w:tc>
                <w:tcPr/>
                <w:p>
                  <w:pPr>
                    <w:pStyle w:val="Compact"/>
                    <w:jc w:val="center"/>
                    <w:jc w:val="center"/>
                  </w:pPr>
                  <w:r>
                    <w:t xml:space="preserve">7.20</w:t>
                  </w:r>
                </w:p>
              </w:tc>
              <w:tc>
                <w:tcPr/>
                <w:p>
                  <w:pPr>
                    <w:pStyle w:val="Compact"/>
                    <w:jc w:val="center"/>
                    <w:jc w:val="center"/>
                  </w:pPr>
                  <w:r>
                    <w:t xml:space="preserve">-5.3%%</w:t>
                  </w:r>
                </w:p>
              </w:tc>
            </w:tr>
            <w:tr>
              <w:tc>
                <w:tcPr/>
                <w:p>
                  <w:pPr>
                    <w:pStyle w:val="Compact"/>
                    <w:jc w:val="center"/>
                    <w:jc w:val="center"/>
                  </w:pPr>
                  <w:r>
                    <w:t xml:space="preserve">28</w:t>
                  </w:r>
                </w:p>
              </w:tc>
              <w:tc>
                <w:tcPr/>
                <w:p>
                  <w:pPr>
                    <w:pStyle w:val="Compact"/>
                    <w:jc w:val="center"/>
                    <w:jc w:val="center"/>
                  </w:pPr>
                  <w:r>
                    <w:t xml:space="preserve">SBRF-SBSP</w:t>
                  </w:r>
                </w:p>
              </w:tc>
              <w:tc>
                <w:tcPr/>
                <w:p>
                  <w:pPr>
                    <w:pStyle w:val="Compact"/>
                    <w:jc w:val="center"/>
                    <w:jc w:val="center"/>
                  </w:pPr>
                  <w:r>
                    <w:t xml:space="preserve">3754</w:t>
                  </w:r>
                </w:p>
              </w:tc>
              <w:tc>
                <w:tcPr/>
                <w:p>
                  <w:pPr>
                    <w:pStyle w:val="Compact"/>
                    <w:jc w:val="center"/>
                    <w:jc w:val="center"/>
                  </w:pPr>
                  <w:r>
                    <w:t xml:space="preserve">3878</w:t>
                  </w:r>
                </w:p>
              </w:tc>
              <w:tc>
                <w:tcPr/>
                <w:p>
                  <w:pPr>
                    <w:pStyle w:val="Compact"/>
                    <w:jc w:val="center"/>
                    <w:jc w:val="center"/>
                  </w:pPr>
                  <w:r>
                    <w:t xml:space="preserve">200.40</w:t>
                  </w:r>
                </w:p>
              </w:tc>
              <w:tc>
                <w:tcPr/>
                <w:p>
                  <w:pPr>
                    <w:pStyle w:val="Compact"/>
                    <w:jc w:val="center"/>
                    <w:jc w:val="center"/>
                  </w:pPr>
                  <w:r>
                    <w:t xml:space="preserve">199.40</w:t>
                  </w:r>
                </w:p>
              </w:tc>
              <w:tc>
                <w:tcPr/>
                <w:p>
                  <w:pPr>
                    <w:pStyle w:val="Compact"/>
                    <w:jc w:val="center"/>
                    <w:jc w:val="center"/>
                  </w:pPr>
                  <w:r>
                    <w:t xml:space="preserve">8.90</w:t>
                  </w:r>
                </w:p>
              </w:tc>
              <w:tc>
                <w:tcPr/>
                <w:p>
                  <w:pPr>
                    <w:pStyle w:val="Compact"/>
                    <w:jc w:val="center"/>
                    <w:jc w:val="center"/>
                  </w:pPr>
                  <w:r>
                    <w:t xml:space="preserve">8.70</w:t>
                  </w:r>
                </w:p>
              </w:tc>
              <w:tc>
                <w:tcPr/>
                <w:p>
                  <w:pPr>
                    <w:pStyle w:val="Compact"/>
                    <w:jc w:val="center"/>
                    <w:jc w:val="center"/>
                  </w:pPr>
                  <w:r>
                    <w:t xml:space="preserve">-2.2%%</w:t>
                  </w:r>
                </w:p>
              </w:tc>
            </w:tr>
            <w:tr>
              <w:tc>
                <w:tcPr/>
                <w:p>
                  <w:pPr>
                    <w:pStyle w:val="Compact"/>
                    <w:jc w:val="center"/>
                    <w:jc w:val="center"/>
                  </w:pPr>
                  <w:r>
                    <w:t xml:space="preserve">29</w:t>
                  </w:r>
                </w:p>
              </w:tc>
              <w:tc>
                <w:tcPr/>
                <w:p>
                  <w:pPr>
                    <w:pStyle w:val="Compact"/>
                    <w:jc w:val="center"/>
                    <w:jc w:val="center"/>
                  </w:pPr>
                  <w:r>
                    <w:t xml:space="preserve">SBGR-SBFZ</w:t>
                  </w:r>
                </w:p>
              </w:tc>
              <w:tc>
                <w:tcPr/>
                <w:p>
                  <w:pPr>
                    <w:pStyle w:val="Compact"/>
                    <w:jc w:val="center"/>
                    <w:jc w:val="center"/>
                  </w:pPr>
                  <w:r>
                    <w:t xml:space="preserve">3562</w:t>
                  </w:r>
                </w:p>
              </w:tc>
              <w:tc>
                <w:tcPr/>
                <w:p>
                  <w:pPr>
                    <w:pStyle w:val="Compact"/>
                    <w:jc w:val="center"/>
                    <w:jc w:val="center"/>
                  </w:pPr>
                  <w:r>
                    <w:t xml:space="preserve">3874</w:t>
                  </w:r>
                </w:p>
              </w:tc>
              <w:tc>
                <w:tcPr/>
                <w:p>
                  <w:pPr>
                    <w:pStyle w:val="Compact"/>
                    <w:jc w:val="center"/>
                    <w:jc w:val="center"/>
                  </w:pPr>
                  <w:r>
                    <w:t xml:space="preserve">199.40</w:t>
                  </w:r>
                </w:p>
              </w:tc>
              <w:tc>
                <w:tcPr/>
                <w:p>
                  <w:pPr>
                    <w:pStyle w:val="Compact"/>
                    <w:jc w:val="center"/>
                    <w:jc w:val="center"/>
                  </w:pPr>
                  <w:r>
                    <w:t xml:space="preserve">197.40</w:t>
                  </w:r>
                </w:p>
              </w:tc>
              <w:tc>
                <w:tcPr/>
                <w:p>
                  <w:pPr>
                    <w:pStyle w:val="Compact"/>
                    <w:jc w:val="center"/>
                    <w:jc w:val="center"/>
                  </w:pPr>
                  <w:r>
                    <w:t xml:space="preserve">7.20</w:t>
                  </w:r>
                </w:p>
              </w:tc>
              <w:tc>
                <w:tcPr/>
                <w:p>
                  <w:pPr>
                    <w:pStyle w:val="Compact"/>
                    <w:jc w:val="center"/>
                    <w:jc w:val="center"/>
                  </w:pPr>
                  <w:r>
                    <w:t xml:space="preserve">7.50</w:t>
                  </w:r>
                </w:p>
              </w:tc>
              <w:tc>
                <w:tcPr/>
                <w:p>
                  <w:pPr>
                    <w:pStyle w:val="Compact"/>
                    <w:jc w:val="center"/>
                    <w:jc w:val="center"/>
                  </w:pPr>
                  <w:r>
                    <w:t xml:space="preserve">4.2%%</w:t>
                  </w:r>
                </w:p>
              </w:tc>
            </w:tr>
            <w:tr>
              <w:tc>
                <w:tcPr/>
                <w:p>
                  <w:pPr>
                    <w:pStyle w:val="Compact"/>
                    <w:jc w:val="center"/>
                    <w:jc w:val="center"/>
                  </w:pPr>
                  <w:r>
                    <w:t xml:space="preserve">30</w:t>
                  </w:r>
                </w:p>
              </w:tc>
              <w:tc>
                <w:tcPr/>
                <w:p>
                  <w:pPr>
                    <w:pStyle w:val="Compact"/>
                    <w:jc w:val="center"/>
                    <w:jc w:val="center"/>
                  </w:pPr>
                  <w:r>
                    <w:t xml:space="preserve">SBFL-SBGR</w:t>
                  </w:r>
                </w:p>
              </w:tc>
              <w:tc>
                <w:tcPr/>
                <w:p>
                  <w:pPr>
                    <w:pStyle w:val="Compact"/>
                    <w:jc w:val="center"/>
                    <w:jc w:val="center"/>
                  </w:pPr>
                  <w:r>
                    <w:t xml:space="preserve">3256</w:t>
                  </w:r>
                </w:p>
              </w:tc>
              <w:tc>
                <w:tcPr/>
                <w:p>
                  <w:pPr>
                    <w:pStyle w:val="Compact"/>
                    <w:jc w:val="center"/>
                    <w:jc w:val="center"/>
                  </w:pPr>
                  <w:r>
                    <w:t xml:space="preserve">3527</w:t>
                  </w:r>
                </w:p>
              </w:tc>
              <w:tc>
                <w:tcPr/>
                <w:p>
                  <w:pPr>
                    <w:pStyle w:val="Compact"/>
                    <w:jc w:val="center"/>
                    <w:jc w:val="center"/>
                  </w:pPr>
                  <w:r>
                    <w:t xml:space="preserve">81.70</w:t>
                  </w:r>
                </w:p>
              </w:tc>
              <w:tc>
                <w:tcPr/>
                <w:p>
                  <w:pPr>
                    <w:pStyle w:val="Compact"/>
                    <w:jc w:val="center"/>
                    <w:jc w:val="center"/>
                  </w:pPr>
                  <w:r>
                    <w:t xml:space="preserve">83.10</w:t>
                  </w:r>
                </w:p>
              </w:tc>
              <w:tc>
                <w:tcPr/>
                <w:p>
                  <w:pPr>
                    <w:pStyle w:val="Compact"/>
                    <w:jc w:val="center"/>
                    <w:jc w:val="center"/>
                  </w:pPr>
                  <w:r>
                    <w:t xml:space="preserve">6.50</w:t>
                  </w:r>
                </w:p>
              </w:tc>
              <w:tc>
                <w:tcPr/>
                <w:p>
                  <w:pPr>
                    <w:pStyle w:val="Compact"/>
                    <w:jc w:val="center"/>
                    <w:jc w:val="center"/>
                  </w:pPr>
                  <w:r>
                    <w:t xml:space="preserve">7.40</w:t>
                  </w:r>
                </w:p>
              </w:tc>
              <w:tc>
                <w:tcPr/>
                <w:p>
                  <w:pPr>
                    <w:pStyle w:val="Compact"/>
                    <w:jc w:val="center"/>
                    <w:jc w:val="center"/>
                  </w:pPr>
                  <w:r>
                    <w:t xml:space="preserve">13.8%%</w:t>
                  </w:r>
                </w:p>
              </w:tc>
            </w:tr>
            <w:tr>
              <w:tc>
                <w:tcPr/>
                <w:p>
                  <w:pPr>
                    <w:pStyle w:val="Compact"/>
                    <w:jc w:val="center"/>
                    <w:jc w:val="center"/>
                  </w:pPr>
                  <w:r>
                    <w:t xml:space="preserve">31</w:t>
                  </w:r>
                </w:p>
              </w:tc>
              <w:tc>
                <w:tcPr/>
                <w:p>
                  <w:pPr>
                    <w:pStyle w:val="Compact"/>
                    <w:jc w:val="center"/>
                    <w:jc w:val="center"/>
                  </w:pPr>
                  <w:r>
                    <w:t xml:space="preserve">SBGR-SBFL</w:t>
                  </w:r>
                </w:p>
              </w:tc>
              <w:tc>
                <w:tcPr/>
                <w:p>
                  <w:pPr>
                    <w:pStyle w:val="Compact"/>
                    <w:jc w:val="center"/>
                    <w:jc w:val="center"/>
                  </w:pPr>
                  <w:r>
                    <w:t xml:space="preserve">3244</w:t>
                  </w:r>
                </w:p>
              </w:tc>
              <w:tc>
                <w:tcPr/>
                <w:p>
                  <w:pPr>
                    <w:pStyle w:val="Compact"/>
                    <w:jc w:val="center"/>
                    <w:jc w:val="center"/>
                  </w:pPr>
                  <w:r>
                    <w:t xml:space="preserve">3517</w:t>
                  </w:r>
                </w:p>
              </w:tc>
              <w:tc>
                <w:tcPr/>
                <w:p>
                  <w:pPr>
                    <w:pStyle w:val="Compact"/>
                    <w:jc w:val="center"/>
                    <w:jc w:val="center"/>
                  </w:pPr>
                  <w:r>
                    <w:t xml:space="preserve">73.00</w:t>
                  </w:r>
                </w:p>
              </w:tc>
              <w:tc>
                <w:tcPr/>
                <w:p>
                  <w:pPr>
                    <w:pStyle w:val="Compact"/>
                    <w:jc w:val="center"/>
                    <w:jc w:val="center"/>
                  </w:pPr>
                  <w:r>
                    <w:t xml:space="preserve">72.70</w:t>
                  </w:r>
                </w:p>
              </w:tc>
              <w:tc>
                <w:tcPr/>
                <w:p>
                  <w:pPr>
                    <w:pStyle w:val="Compact"/>
                    <w:jc w:val="center"/>
                    <w:jc w:val="center"/>
                  </w:pPr>
                  <w:r>
                    <w:t xml:space="preserve">5.30</w:t>
                  </w:r>
                </w:p>
              </w:tc>
              <w:tc>
                <w:tcPr/>
                <w:p>
                  <w:pPr>
                    <w:pStyle w:val="Compact"/>
                    <w:jc w:val="center"/>
                    <w:jc w:val="center"/>
                  </w:pPr>
                  <w:r>
                    <w:t xml:space="preserve">5.00</w:t>
                  </w:r>
                </w:p>
              </w:tc>
              <w:tc>
                <w:tcPr/>
                <w:p>
                  <w:pPr>
                    <w:pStyle w:val="Compact"/>
                    <w:jc w:val="center"/>
                    <w:jc w:val="center"/>
                  </w:pPr>
                  <w:r>
                    <w:t xml:space="preserve">-5.7%%</w:t>
                  </w:r>
                </w:p>
              </w:tc>
            </w:tr>
            <w:tr>
              <w:tc>
                <w:tcPr/>
                <w:p>
                  <w:pPr>
                    <w:pStyle w:val="Compact"/>
                    <w:jc w:val="center"/>
                    <w:jc w:val="center"/>
                  </w:pPr>
                  <w:r>
                    <w:t xml:space="preserve">32</w:t>
                  </w:r>
                </w:p>
              </w:tc>
              <w:tc>
                <w:tcPr/>
                <w:p>
                  <w:pPr>
                    <w:pStyle w:val="Compact"/>
                    <w:jc w:val="center"/>
                    <w:jc w:val="center"/>
                  </w:pPr>
                  <w:r>
                    <w:t xml:space="preserve">SBVT-SBGR</w:t>
                  </w:r>
                </w:p>
              </w:tc>
              <w:tc>
                <w:tcPr/>
                <w:p>
                  <w:pPr>
                    <w:pStyle w:val="Compact"/>
                    <w:jc w:val="center"/>
                    <w:jc w:val="center"/>
                  </w:pPr>
                  <w:r>
                    <w:t xml:space="preserve">2878</w:t>
                  </w:r>
                </w:p>
              </w:tc>
              <w:tc>
                <w:tcPr/>
                <w:p>
                  <w:pPr>
                    <w:pStyle w:val="Compact"/>
                    <w:jc w:val="center"/>
                    <w:jc w:val="center"/>
                  </w:pPr>
                  <w:r>
                    <w:t xml:space="preserve">3199</w:t>
                  </w:r>
                </w:p>
              </w:tc>
              <w:tc>
                <w:tcPr/>
                <w:p>
                  <w:pPr>
                    <w:pStyle w:val="Compact"/>
                    <w:jc w:val="center"/>
                    <w:jc w:val="center"/>
                  </w:pPr>
                  <w:r>
                    <w:t xml:space="preserve">93.90</w:t>
                  </w:r>
                </w:p>
              </w:tc>
              <w:tc>
                <w:tcPr/>
                <w:p>
                  <w:pPr>
                    <w:pStyle w:val="Compact"/>
                    <w:jc w:val="center"/>
                    <w:jc w:val="center"/>
                  </w:pPr>
                  <w:r>
                    <w:t xml:space="preserve">94.70</w:t>
                  </w:r>
                </w:p>
              </w:tc>
              <w:tc>
                <w:tcPr/>
                <w:p>
                  <w:pPr>
                    <w:pStyle w:val="Compact"/>
                    <w:jc w:val="center"/>
                    <w:jc w:val="center"/>
                  </w:pPr>
                  <w:r>
                    <w:t xml:space="preserve">6.50</w:t>
                  </w:r>
                </w:p>
              </w:tc>
              <w:tc>
                <w:tcPr/>
                <w:p>
                  <w:pPr>
                    <w:pStyle w:val="Compact"/>
                    <w:jc w:val="center"/>
                    <w:jc w:val="center"/>
                  </w:pPr>
                  <w:r>
                    <w:t xml:space="preserve">6.90</w:t>
                  </w:r>
                </w:p>
              </w:tc>
              <w:tc>
                <w:tcPr/>
                <w:p>
                  <w:pPr>
                    <w:pStyle w:val="Compact"/>
                    <w:jc w:val="center"/>
                    <w:jc w:val="center"/>
                  </w:pPr>
                  <w:r>
                    <w:t xml:space="preserve">6.2%%</w:t>
                  </w:r>
                </w:p>
              </w:tc>
            </w:tr>
            <w:tr>
              <w:tc>
                <w:tcPr/>
                <w:p>
                  <w:pPr>
                    <w:pStyle w:val="Compact"/>
                    <w:jc w:val="center"/>
                    <w:jc w:val="center"/>
                  </w:pPr>
                  <w:r>
                    <w:t xml:space="preserve">33</w:t>
                  </w:r>
                </w:p>
              </w:tc>
              <w:tc>
                <w:tcPr/>
                <w:p>
                  <w:pPr>
                    <w:pStyle w:val="Compact"/>
                    <w:jc w:val="center"/>
                    <w:jc w:val="center"/>
                  </w:pPr>
                  <w:r>
                    <w:t xml:space="preserve">SBCF-SBKP</w:t>
                  </w:r>
                </w:p>
              </w:tc>
              <w:tc>
                <w:tcPr/>
                <w:p>
                  <w:pPr>
                    <w:pStyle w:val="Compact"/>
                    <w:jc w:val="center"/>
                    <w:jc w:val="center"/>
                  </w:pPr>
                  <w:r>
                    <w:t xml:space="preserve">3653</w:t>
                  </w:r>
                </w:p>
              </w:tc>
              <w:tc>
                <w:tcPr/>
                <w:p>
                  <w:pPr>
                    <w:pStyle w:val="Compact"/>
                    <w:jc w:val="center"/>
                    <w:jc w:val="center"/>
                  </w:pPr>
                  <w:r>
                    <w:t xml:space="preserve">3170</w:t>
                  </w:r>
                </w:p>
              </w:tc>
              <w:tc>
                <w:tcPr/>
                <w:p>
                  <w:pPr>
                    <w:pStyle w:val="Compact"/>
                    <w:jc w:val="center"/>
                    <w:jc w:val="center"/>
                  </w:pPr>
                  <w:r>
                    <w:t xml:space="preserve">73.30</w:t>
                  </w:r>
                </w:p>
              </w:tc>
              <w:tc>
                <w:tcPr/>
                <w:p>
                  <w:pPr>
                    <w:pStyle w:val="Compact"/>
                    <w:jc w:val="center"/>
                    <w:jc w:val="center"/>
                  </w:pPr>
                  <w:r>
                    <w:t xml:space="preserve">72.60</w:t>
                  </w:r>
                </w:p>
              </w:tc>
              <w:tc>
                <w:tcPr/>
                <w:p>
                  <w:pPr>
                    <w:pStyle w:val="Compact"/>
                    <w:jc w:val="center"/>
                    <w:jc w:val="center"/>
                  </w:pPr>
                  <w:r>
                    <w:t xml:space="preserve">5.10</w:t>
                  </w:r>
                </w:p>
              </w:tc>
              <w:tc>
                <w:tcPr/>
                <w:p>
                  <w:pPr>
                    <w:pStyle w:val="Compact"/>
                    <w:jc w:val="center"/>
                    <w:jc w:val="center"/>
                  </w:pPr>
                  <w:r>
                    <w:t xml:space="preserve">4.80</w:t>
                  </w:r>
                </w:p>
              </w:tc>
              <w:tc>
                <w:tcPr/>
                <w:p>
                  <w:pPr>
                    <w:pStyle w:val="Compact"/>
                    <w:jc w:val="center"/>
                    <w:jc w:val="center"/>
                  </w:pPr>
                  <w:r>
                    <w:t xml:space="preserve">-5.9%%</w:t>
                  </w:r>
                </w:p>
              </w:tc>
            </w:tr>
            <w:tr>
              <w:tc>
                <w:tcPr/>
                <w:p>
                  <w:pPr>
                    <w:pStyle w:val="Compact"/>
                    <w:jc w:val="center"/>
                    <w:jc w:val="center"/>
                  </w:pPr>
                  <w:r>
                    <w:t xml:space="preserve">34</w:t>
                  </w:r>
                </w:p>
              </w:tc>
              <w:tc>
                <w:tcPr/>
                <w:p>
                  <w:pPr>
                    <w:pStyle w:val="Compact"/>
                    <w:jc w:val="center"/>
                    <w:jc w:val="center"/>
                  </w:pPr>
                  <w:r>
                    <w:t xml:space="preserve">SBGO-SBGR</w:t>
                  </w:r>
                </w:p>
              </w:tc>
              <w:tc>
                <w:tcPr/>
                <w:p>
                  <w:pPr>
                    <w:pStyle w:val="Compact"/>
                    <w:jc w:val="center"/>
                    <w:jc w:val="center"/>
                  </w:pPr>
                  <w:r>
                    <w:t xml:space="preserve">2896</w:t>
                  </w:r>
                </w:p>
              </w:tc>
              <w:tc>
                <w:tcPr/>
                <w:p>
                  <w:pPr>
                    <w:pStyle w:val="Compact"/>
                    <w:jc w:val="center"/>
                    <w:jc w:val="center"/>
                  </w:pPr>
                  <w:r>
                    <w:t xml:space="preserve">2910</w:t>
                  </w:r>
                </w:p>
              </w:tc>
              <w:tc>
                <w:tcPr/>
                <w:p>
                  <w:pPr>
                    <w:pStyle w:val="Compact"/>
                    <w:jc w:val="center"/>
                    <w:jc w:val="center"/>
                  </w:pPr>
                  <w:r>
                    <w:t xml:space="preserve">98.70</w:t>
                  </w:r>
                </w:p>
              </w:tc>
              <w:tc>
                <w:tcPr/>
                <w:p>
                  <w:pPr>
                    <w:pStyle w:val="Compact"/>
                    <w:jc w:val="center"/>
                    <w:jc w:val="center"/>
                  </w:pPr>
                  <w:r>
                    <w:t xml:space="preserve">100.10</w:t>
                  </w:r>
                </w:p>
              </w:tc>
              <w:tc>
                <w:tcPr/>
                <w:p>
                  <w:pPr>
                    <w:pStyle w:val="Compact"/>
                    <w:jc w:val="center"/>
                    <w:jc w:val="center"/>
                  </w:pPr>
                  <w:r>
                    <w:t xml:space="preserve">6.40</w:t>
                  </w:r>
                </w:p>
              </w:tc>
              <w:tc>
                <w:tcPr/>
                <w:p>
                  <w:pPr>
                    <w:pStyle w:val="Compact"/>
                    <w:jc w:val="center"/>
                    <w:jc w:val="center"/>
                  </w:pPr>
                  <w:r>
                    <w:t xml:space="preserve">7.70</w:t>
                  </w:r>
                </w:p>
              </w:tc>
              <w:tc>
                <w:tcPr/>
                <w:p>
                  <w:pPr>
                    <w:pStyle w:val="Compact"/>
                    <w:jc w:val="center"/>
                    <w:jc w:val="center"/>
                  </w:pPr>
                  <w:r>
                    <w:t xml:space="preserve">20.3%%</w:t>
                  </w:r>
                </w:p>
              </w:tc>
            </w:tr>
            <w:tr>
              <w:tc>
                <w:tcPr/>
                <w:p>
                  <w:pPr>
                    <w:pStyle w:val="Compact"/>
                    <w:jc w:val="center"/>
                    <w:jc w:val="center"/>
                  </w:pPr>
                  <w:r>
                    <w:t xml:space="preserve">35</w:t>
                  </w:r>
                </w:p>
              </w:tc>
              <w:tc>
                <w:tcPr/>
                <w:p>
                  <w:pPr>
                    <w:pStyle w:val="Compact"/>
                    <w:jc w:val="center"/>
                    <w:jc w:val="center"/>
                  </w:pPr>
                  <w:r>
                    <w:t xml:space="preserve">SBRJ-SBKP</w:t>
                  </w:r>
                </w:p>
              </w:tc>
              <w:tc>
                <w:tcPr/>
                <w:p>
                  <w:pPr>
                    <w:pStyle w:val="Compact"/>
                    <w:jc w:val="center"/>
                    <w:jc w:val="center"/>
                  </w:pPr>
                  <w:r>
                    <w:t xml:space="preserve">2628</w:t>
                  </w:r>
                </w:p>
              </w:tc>
              <w:tc>
                <w:tcPr/>
                <w:p>
                  <w:pPr>
                    <w:pStyle w:val="Compact"/>
                    <w:jc w:val="center"/>
                    <w:jc w:val="center"/>
                  </w:pPr>
                  <w:r>
                    <w:t xml:space="preserve">2644</w:t>
                  </w:r>
                </w:p>
              </w:tc>
              <w:tc>
                <w:tcPr/>
                <w:p>
                  <w:pPr>
                    <w:pStyle w:val="Compact"/>
                    <w:jc w:val="center"/>
                    <w:jc w:val="center"/>
                  </w:pPr>
                  <w:r>
                    <w:t xml:space="preserve">68.60</w:t>
                  </w:r>
                </w:p>
              </w:tc>
              <w:tc>
                <w:tcPr/>
                <w:p>
                  <w:pPr>
                    <w:pStyle w:val="Compact"/>
                    <w:jc w:val="center"/>
                    <w:jc w:val="center"/>
                  </w:pPr>
                  <w:r>
                    <w:t xml:space="preserve">68.30</w:t>
                  </w:r>
                </w:p>
              </w:tc>
              <w:tc>
                <w:tcPr/>
                <w:p>
                  <w:pPr>
                    <w:pStyle w:val="Compact"/>
                    <w:jc w:val="center"/>
                    <w:jc w:val="center"/>
                  </w:pPr>
                  <w:r>
                    <w:t xml:space="preserve">5.20</w:t>
                  </w:r>
                </w:p>
              </w:tc>
              <w:tc>
                <w:tcPr/>
                <w:p>
                  <w:pPr>
                    <w:pStyle w:val="Compact"/>
                    <w:jc w:val="center"/>
                    <w:jc w:val="center"/>
                  </w:pPr>
                  <w:r>
                    <w:t xml:space="preserve">4.70</w:t>
                  </w:r>
                </w:p>
              </w:tc>
              <w:tc>
                <w:tcPr/>
                <w:p>
                  <w:pPr>
                    <w:pStyle w:val="Compact"/>
                    <w:jc w:val="center"/>
                    <w:jc w:val="center"/>
                  </w:pPr>
                  <w:r>
                    <w:t xml:space="preserve">-9.6%%</w:t>
                  </w:r>
                </w:p>
              </w:tc>
            </w:tr>
            <w:tr>
              <w:tc>
                <w:tcPr/>
                <w:p>
                  <w:pPr>
                    <w:pStyle w:val="Compact"/>
                    <w:jc w:val="center"/>
                    <w:jc w:val="center"/>
                  </w:pPr>
                  <w:r>
                    <w:t xml:space="preserve">36</w:t>
                  </w:r>
                </w:p>
              </w:tc>
              <w:tc>
                <w:tcPr/>
                <w:p>
                  <w:pPr>
                    <w:pStyle w:val="Compact"/>
                    <w:jc w:val="center"/>
                    <w:jc w:val="center"/>
                  </w:pPr>
                  <w:r>
                    <w:t xml:space="preserve">SBKP-SBRJ</w:t>
                  </w:r>
                </w:p>
              </w:tc>
              <w:tc>
                <w:tcPr/>
                <w:p>
                  <w:pPr>
                    <w:pStyle w:val="Compact"/>
                    <w:jc w:val="center"/>
                    <w:jc w:val="center"/>
                  </w:pPr>
                  <w:r>
                    <w:t xml:space="preserve">2571</w:t>
                  </w:r>
                </w:p>
              </w:tc>
              <w:tc>
                <w:tcPr/>
                <w:p>
                  <w:pPr>
                    <w:pStyle w:val="Compact"/>
                    <w:jc w:val="center"/>
                    <w:jc w:val="center"/>
                  </w:pPr>
                  <w:r>
                    <w:t xml:space="preserve">2620</w:t>
                  </w:r>
                </w:p>
              </w:tc>
              <w:tc>
                <w:tcPr/>
                <w:p>
                  <w:pPr>
                    <w:pStyle w:val="Compact"/>
                    <w:jc w:val="center"/>
                    <w:jc w:val="center"/>
                  </w:pPr>
                  <w:r>
                    <w:t xml:space="preserve">60.70</w:t>
                  </w:r>
                </w:p>
              </w:tc>
              <w:tc>
                <w:tcPr/>
                <w:p>
                  <w:pPr>
                    <w:pStyle w:val="Compact"/>
                    <w:jc w:val="center"/>
                    <w:jc w:val="center"/>
                  </w:pPr>
                  <w:r>
                    <w:t xml:space="preserve">61.70</w:t>
                  </w:r>
                </w:p>
              </w:tc>
              <w:tc>
                <w:tcPr/>
                <w:p>
                  <w:pPr>
                    <w:pStyle w:val="Compact"/>
                    <w:jc w:val="center"/>
                    <w:jc w:val="center"/>
                  </w:pPr>
                  <w:r>
                    <w:t xml:space="preserve">5.50</w:t>
                  </w:r>
                </w:p>
              </w:tc>
              <w:tc>
                <w:tcPr/>
                <w:p>
                  <w:pPr>
                    <w:pStyle w:val="Compact"/>
                    <w:jc w:val="center"/>
                    <w:jc w:val="center"/>
                  </w:pPr>
                  <w:r>
                    <w:t xml:space="preserve">5.50</w:t>
                  </w:r>
                </w:p>
              </w:tc>
              <w:tc>
                <w:tcPr/>
                <w:p>
                  <w:pPr>
                    <w:pStyle w:val="Compact"/>
                    <w:jc w:val="center"/>
                    <w:jc w:val="center"/>
                  </w:pPr>
                  <w:r>
                    <w:t xml:space="preserve">0.0%%</w:t>
                  </w:r>
                </w:p>
              </w:tc>
            </w:tr>
            <w:tr>
              <w:tc>
                <w:tcPr/>
                <w:p>
                  <w:pPr>
                    <w:pStyle w:val="Compact"/>
                    <w:jc w:val="center"/>
                    <w:jc w:val="center"/>
                  </w:pPr>
                  <w:r>
                    <w:t xml:space="preserve">37</w:t>
                  </w:r>
                </w:p>
              </w:tc>
              <w:tc>
                <w:tcPr/>
                <w:p>
                  <w:pPr>
                    <w:pStyle w:val="Compact"/>
                    <w:jc w:val="center"/>
                    <w:jc w:val="center"/>
                  </w:pPr>
                  <w:r>
                    <w:t xml:space="preserve">SBKP-SBPA</w:t>
                  </w:r>
                </w:p>
              </w:tc>
              <w:tc>
                <w:tcPr/>
                <w:p>
                  <w:pPr>
                    <w:pStyle w:val="Compact"/>
                    <w:jc w:val="center"/>
                    <w:jc w:val="center"/>
                  </w:pPr>
                  <w:r>
                    <w:t xml:space="preserve">1439</w:t>
                  </w:r>
                </w:p>
              </w:tc>
              <w:tc>
                <w:tcPr/>
                <w:p>
                  <w:pPr>
                    <w:pStyle w:val="Compact"/>
                    <w:jc w:val="center"/>
                    <w:jc w:val="center"/>
                  </w:pPr>
                  <w:r>
                    <w:t xml:space="preserve">2491</w:t>
                  </w:r>
                </w:p>
              </w:tc>
              <w:tc>
                <w:tcPr/>
                <w:p>
                  <w:pPr>
                    <w:pStyle w:val="Compact"/>
                    <w:jc w:val="center"/>
                    <w:jc w:val="center"/>
                  </w:pPr>
                  <w:r>
                    <w:t xml:space="preserve">98.90</w:t>
                  </w:r>
                </w:p>
              </w:tc>
              <w:tc>
                <w:tcPr/>
                <w:p>
                  <w:pPr>
                    <w:pStyle w:val="Compact"/>
                    <w:jc w:val="center"/>
                    <w:jc w:val="center"/>
                  </w:pPr>
                  <w:r>
                    <w:t xml:space="preserve">98.80</w:t>
                  </w:r>
                </w:p>
              </w:tc>
              <w:tc>
                <w:tcPr/>
                <w:p>
                  <w:pPr>
                    <w:pStyle w:val="Compact"/>
                    <w:jc w:val="center"/>
                    <w:jc w:val="center"/>
                  </w:pPr>
                  <w:r>
                    <w:t xml:space="preserve">5.40</w:t>
                  </w:r>
                </w:p>
              </w:tc>
              <w:tc>
                <w:tcPr/>
                <w:p>
                  <w:pPr>
                    <w:pStyle w:val="Compact"/>
                    <w:jc w:val="center"/>
                    <w:jc w:val="center"/>
                  </w:pPr>
                  <w:r>
                    <w:t xml:space="preserve">5.30</w:t>
                  </w:r>
                </w:p>
              </w:tc>
              <w:tc>
                <w:tcPr/>
                <w:p>
                  <w:pPr>
                    <w:pStyle w:val="Compact"/>
                    <w:jc w:val="center"/>
                    <w:jc w:val="center"/>
                  </w:pPr>
                  <w:r>
                    <w:t xml:space="preserve">-1.9%%</w:t>
                  </w:r>
                </w:p>
              </w:tc>
            </w:tr>
            <w:tr>
              <w:tc>
                <w:tcPr/>
                <w:p>
                  <w:pPr>
                    <w:pStyle w:val="Compact"/>
                    <w:jc w:val="center"/>
                    <w:jc w:val="center"/>
                  </w:pPr>
                  <w:r>
                    <w:t xml:space="preserve">38</w:t>
                  </w:r>
                </w:p>
              </w:tc>
              <w:tc>
                <w:tcPr/>
                <w:p>
                  <w:pPr>
                    <w:pStyle w:val="Compact"/>
                    <w:jc w:val="center"/>
                    <w:jc w:val="center"/>
                  </w:pPr>
                  <w:r>
                    <w:t xml:space="preserve">SBPA-SBKP</w:t>
                  </w:r>
                </w:p>
              </w:tc>
              <w:tc>
                <w:tcPr/>
                <w:p>
                  <w:pPr>
                    <w:pStyle w:val="Compact"/>
                    <w:jc w:val="center"/>
                    <w:jc w:val="center"/>
                  </w:pPr>
                  <w:r>
                    <w:t xml:space="preserve">1449</w:t>
                  </w:r>
                </w:p>
              </w:tc>
              <w:tc>
                <w:tcPr/>
                <w:p>
                  <w:pPr>
                    <w:pStyle w:val="Compact"/>
                    <w:jc w:val="center"/>
                    <w:jc w:val="center"/>
                  </w:pPr>
                  <w:r>
                    <w:t xml:space="preserve">2480</w:t>
                  </w:r>
                </w:p>
              </w:tc>
              <w:tc>
                <w:tcPr/>
                <w:p>
                  <w:pPr>
                    <w:pStyle w:val="Compact"/>
                    <w:jc w:val="center"/>
                    <w:jc w:val="center"/>
                  </w:pPr>
                  <w:r>
                    <w:t xml:space="preserve">95.10</w:t>
                  </w:r>
                </w:p>
              </w:tc>
              <w:tc>
                <w:tcPr/>
                <w:p>
                  <w:pPr>
                    <w:pStyle w:val="Compact"/>
                    <w:jc w:val="center"/>
                    <w:jc w:val="center"/>
                  </w:pPr>
                  <w:r>
                    <w:t xml:space="preserve">94.50</w:t>
                  </w:r>
                </w:p>
              </w:tc>
              <w:tc>
                <w:tcPr/>
                <w:p>
                  <w:pPr>
                    <w:pStyle w:val="Compact"/>
                    <w:jc w:val="center"/>
                    <w:jc w:val="center"/>
                  </w:pPr>
                  <w:r>
                    <w:t xml:space="preserve">4.60</w:t>
                  </w:r>
                </w:p>
              </w:tc>
              <w:tc>
                <w:tcPr/>
                <w:p>
                  <w:pPr>
                    <w:pStyle w:val="Compact"/>
                    <w:jc w:val="center"/>
                    <w:jc w:val="center"/>
                  </w:pPr>
                  <w:r>
                    <w:t xml:space="preserve">4.90</w:t>
                  </w:r>
                </w:p>
              </w:tc>
              <w:tc>
                <w:tcPr/>
                <w:p>
                  <w:pPr>
                    <w:pStyle w:val="Compact"/>
                    <w:jc w:val="center"/>
                    <w:jc w:val="center"/>
                  </w:pPr>
                  <w:r>
                    <w:t xml:space="preserve">6.5%%</w:t>
                  </w:r>
                </w:p>
              </w:tc>
            </w:tr>
            <w:tr>
              <w:tc>
                <w:tcPr/>
                <w:p>
                  <w:pPr>
                    <w:pStyle w:val="Compact"/>
                    <w:jc w:val="center"/>
                    <w:jc w:val="center"/>
                  </w:pPr>
                  <w:r>
                    <w:t xml:space="preserve">39</w:t>
                  </w:r>
                </w:p>
              </w:tc>
              <w:tc>
                <w:tcPr/>
                <w:p>
                  <w:pPr>
                    <w:pStyle w:val="Compact"/>
                    <w:jc w:val="center"/>
                    <w:jc w:val="center"/>
                  </w:pPr>
                  <w:r>
                    <w:t xml:space="preserve">SBRJ-SBGR</w:t>
                  </w:r>
                </w:p>
              </w:tc>
              <w:tc>
                <w:tcPr/>
                <w:p>
                  <w:pPr>
                    <w:pStyle w:val="Compact"/>
                    <w:jc w:val="center"/>
                    <w:jc w:val="center"/>
                  </w:pPr>
                  <w:r>
                    <w:t xml:space="preserve">1863</w:t>
                  </w:r>
                </w:p>
              </w:tc>
              <w:tc>
                <w:tcPr/>
                <w:p>
                  <w:pPr>
                    <w:pStyle w:val="Compact"/>
                    <w:jc w:val="center"/>
                    <w:jc w:val="center"/>
                  </w:pPr>
                  <w:r>
                    <w:t xml:space="preserve">1435</w:t>
                  </w:r>
                </w:p>
              </w:tc>
              <w:tc>
                <w:tcPr/>
                <w:p>
                  <w:pPr>
                    <w:pStyle w:val="Compact"/>
                    <w:jc w:val="center"/>
                    <w:jc w:val="center"/>
                  </w:pPr>
                  <w:r>
                    <w:t xml:space="preserve">63.50</w:t>
                  </w:r>
                </w:p>
              </w:tc>
              <w:tc>
                <w:tcPr/>
                <w:p>
                  <w:pPr>
                    <w:pStyle w:val="Compact"/>
                    <w:jc w:val="center"/>
                    <w:jc w:val="center"/>
                  </w:pPr>
                  <w:r>
                    <w:t xml:space="preserve">64.70</w:t>
                  </w:r>
                </w:p>
              </w:tc>
              <w:tc>
                <w:tcPr/>
                <w:p>
                  <w:pPr>
                    <w:pStyle w:val="Compact"/>
                    <w:jc w:val="center"/>
                    <w:jc w:val="center"/>
                  </w:pPr>
                  <w:r>
                    <w:t xml:space="preserve">5.70</w:t>
                  </w:r>
                </w:p>
              </w:tc>
              <w:tc>
                <w:tcPr/>
                <w:p>
                  <w:pPr>
                    <w:pStyle w:val="Compact"/>
                    <w:jc w:val="center"/>
                    <w:jc w:val="center"/>
                  </w:pPr>
                  <w:r>
                    <w:t xml:space="preserve">6.60</w:t>
                  </w:r>
                </w:p>
              </w:tc>
              <w:tc>
                <w:tcPr/>
                <w:p>
                  <w:pPr>
                    <w:pStyle w:val="Compact"/>
                    <w:jc w:val="center"/>
                    <w:jc w:val="center"/>
                  </w:pPr>
                  <w:r>
                    <w:t xml:space="preserve">15.8%%</w:t>
                  </w:r>
                </w:p>
              </w:tc>
            </w:tr>
            <w:tr>
              <w:tc>
                <w:tcPr/>
                <w:p>
                  <w:pPr>
                    <w:pStyle w:val="Compact"/>
                    <w:jc w:val="center"/>
                    <w:jc w:val="center"/>
                  </w:pPr>
                  <w:r>
                    <w:t xml:space="preserve">40</w:t>
                  </w:r>
                </w:p>
              </w:tc>
              <w:tc>
                <w:tcPr/>
                <w:p>
                  <w:pPr>
                    <w:pStyle w:val="Compact"/>
                    <w:jc w:val="center"/>
                    <w:jc w:val="center"/>
                  </w:pPr>
                  <w:r>
                    <w:t xml:space="preserve">SBGR-SBRJ</w:t>
                  </w:r>
                </w:p>
              </w:tc>
              <w:tc>
                <w:tcPr/>
                <w:p>
                  <w:pPr>
                    <w:pStyle w:val="Compact"/>
                    <w:jc w:val="center"/>
                    <w:jc w:val="center"/>
                  </w:pPr>
                  <w:r>
                    <w:t xml:space="preserve">1845</w:t>
                  </w:r>
                </w:p>
              </w:tc>
              <w:tc>
                <w:tcPr/>
                <w:p>
                  <w:pPr>
                    <w:pStyle w:val="Compact"/>
                    <w:jc w:val="center"/>
                    <w:jc w:val="center"/>
                  </w:pPr>
                  <w:r>
                    <w:t xml:space="preserve">1431</w:t>
                  </w:r>
                </w:p>
              </w:tc>
              <w:tc>
                <w:tcPr/>
                <w:p>
                  <w:pPr>
                    <w:pStyle w:val="Compact"/>
                    <w:jc w:val="center"/>
                    <w:jc w:val="center"/>
                  </w:pPr>
                  <w:r>
                    <w:t xml:space="preserve">52.60</w:t>
                  </w:r>
                </w:p>
              </w:tc>
              <w:tc>
                <w:tcPr/>
                <w:p>
                  <w:pPr>
                    <w:pStyle w:val="Compact"/>
                    <w:jc w:val="center"/>
                    <w:jc w:val="center"/>
                  </w:pPr>
                  <w:r>
                    <w:t xml:space="preserve">54.10</w:t>
                  </w:r>
                </w:p>
              </w:tc>
              <w:tc>
                <w:tcPr/>
                <w:p>
                  <w:pPr>
                    <w:pStyle w:val="Compact"/>
                    <w:jc w:val="center"/>
                    <w:jc w:val="center"/>
                  </w:pPr>
                  <w:r>
                    <w:t xml:space="preserve">5.10</w:t>
                  </w:r>
                </w:p>
              </w:tc>
              <w:tc>
                <w:tcPr/>
                <w:p>
                  <w:pPr>
                    <w:pStyle w:val="Compact"/>
                    <w:jc w:val="center"/>
                    <w:jc w:val="center"/>
                  </w:pPr>
                  <w:r>
                    <w:t xml:space="preserve">5.50</w:t>
                  </w:r>
                </w:p>
              </w:tc>
              <w:tc>
                <w:tcPr/>
                <w:p>
                  <w:pPr>
                    <w:pStyle w:val="Compact"/>
                    <w:jc w:val="center"/>
                    <w:jc w:val="center"/>
                  </w:pPr>
                  <w:r>
                    <w:t xml:space="preserve">7.8%%</w:t>
                  </w:r>
                </w:p>
              </w:tc>
            </w:tr>
          </w:tbl>
          <w:bookmarkEnd w:id="230"/>
          <w:p/>
        </w:tc>
      </w:tr>
    </w:tbl>
    <w:p>
      <w:pPr>
        <w:pStyle w:val="Corpodetexto"/>
      </w:pPr>
      <w:r>
        <w:t xml:space="preserve">Em 2025, as rotas mais utilizadas foram aquelas envolvendo o Aeroporto de Congonhas (SBSP), o de Santos Dumont (SBRJ) e o de Brasília (SBBR), refletindo a alta demanda nesses terminais. A análise dos tempos médios de voo e do KPI 15 revelou tendências importantes na eficiência operacional dessas rotas.</w:t>
      </w:r>
    </w:p>
    <w:p>
      <w:pPr>
        <w:pStyle w:val="Corpodetexto"/>
      </w:pPr>
      <w:r>
        <w:t xml:space="preserve">As rotas entre São Paulo (Congonhas) e Rio de Janeiro (Santos Dumont), mantiveram-se no topo do</w:t>
      </w:r>
      <w:r>
        <w:t xml:space="preserve"> </w:t>
      </w:r>
      <w:r>
        <w:rPr>
          <w:i/>
          <w:iCs/>
        </w:rPr>
        <w:t xml:space="preserve">ranking</w:t>
      </w:r>
      <w:r>
        <w:t xml:space="preserve"> </w:t>
      </w:r>
      <w:r>
        <w:t xml:space="preserve">em número de voos. Em 2025, o trecho SBSP-SBRJ manteve o quantitativo de número de voos com relação ao ano de 2024 e apresentou uma redução da variabilidade do tempo de voo em 1,1%, atingindo uma média anual de 5,6% no KPI 15. O trecho inverso (SBRJ-SBSP) apresentou redução da variabilidade do tempo de voo em 0,8%, atingindo uma médial anual de 6,4% no KPI 15.</w:t>
      </w:r>
    </w:p>
    <w:p>
      <w:pPr>
        <w:pStyle w:val="Corpodetexto"/>
      </w:pPr>
      <w:r>
        <w:t xml:space="preserve">Em síntese, a análise dos índices de variabilidade do tempo de voo em 2025 nos trechos mais movimentados do país indica um cenário de melhoria na regularidade das operações aéreas, refletindo avanços na eficiência operacional e no gerenciamento do tráfego aéreo. A variabilidade nos tempos de voo continua sendo um fator crítico, influenciado por múltiplos elementos, como aumento da demanda, restrições operacionais e eventos climáticos. Diante desse contexto, a necessidade de monitoramento constante e ajustes estratégicos torna-se essencial para a otimização das operações.</w:t>
      </w:r>
    </w:p>
    <w:bookmarkEnd w:id="231"/>
    <w:bookmarkEnd w:id="232"/>
    <w:bookmarkStart w:id="325" w:name="eficiência"/>
    <w:p>
      <w:pPr>
        <w:pStyle w:val="Ttulo2"/>
      </w:pPr>
      <w:r>
        <w:t xml:space="preserve">3.2 EFICIÊNCIA</w:t>
      </w:r>
    </w:p>
    <w:p>
      <w:pPr>
        <w:pStyle w:val="FirstParagraph"/>
      </w:pPr>
      <w:r>
        <w:t xml:space="preserve">A KPA Eficiência avalia o desempenho operacional e econômico das operações aéreas ao longo de todas as suas fases. Seu objetivo é identificar oportunidades de melhoria na relação entre demanda e capacidade, buscando maior aderência entre os horários planejados e os executados. Ao analisar aspectos como tempo de voo e consumo de combustível, essa KPA contribui para a pontualidade e para a redução de impactos ambientais.</w:t>
      </w:r>
    </w:p>
    <w:p>
      <w:pPr>
        <w:pStyle w:val="Corpodetexto"/>
      </w:pPr>
      <w:r>
        <w:t xml:space="preserve">Considerando que as diferentes fases do voo são interdependentes, ineficiências pontuais podem gerar atrasos, elevar o consumo de combustível e impactar outros indicadores de desempenho. Dessa forma, a KPA Eficiência permite identificar os principais fatores que influenciam a qualidade operacional e a experiência dos usuários do transporte aéreo.</w:t>
      </w:r>
    </w:p>
    <w:p>
      <w:pPr>
        <w:pStyle w:val="Corpodetexto"/>
      </w:pPr>
      <w:r>
        <w:t xml:space="preserve">Neste relatório, a KPA Eficiência aborda o Tempo Adicional de</w:t>
      </w:r>
      <w:r>
        <w:t xml:space="preserve"> </w:t>
      </w:r>
      <w:r>
        <w:rPr>
          <w:i/>
          <w:iCs/>
        </w:rPr>
        <w:t xml:space="preserve">taxi-out</w:t>
      </w:r>
      <w:r>
        <w:t xml:space="preserve"> </w:t>
      </w:r>
      <w:r>
        <w:t xml:space="preserve">(KPI 02), o Tempo Adicional de</w:t>
      </w:r>
      <w:r>
        <w:t xml:space="preserve"> </w:t>
      </w:r>
      <w:r>
        <w:rPr>
          <w:i/>
          <w:iCs/>
        </w:rPr>
        <w:t xml:space="preserve">taxi-in</w:t>
      </w:r>
      <w:r>
        <w:t xml:space="preserve"> </w:t>
      </w:r>
      <w:r>
        <w:t xml:space="preserve">(KPI 13), o Tempo Adicional em Área Terminal (KPI 08), o Nivelamento em Descida (KPI 19), o Nivelamento em Subida (KPI 17), a Extensão em Rota de Plano de Voo (KPI 04), a Extensão Real em Rota (KPI 05) e o Nível Limite Durante Cruzeiro (KPI 18).</w:t>
      </w:r>
    </w:p>
    <w:bookmarkStart w:id="248" w:name="kpi-02-tempo-adicional-de-taxi-out"/>
    <w:p>
      <w:pPr>
        <w:pStyle w:val="Ttulo3"/>
      </w:pPr>
      <w:r>
        <w:t xml:space="preserve">3.2.1 KPI 02 – TEMPO ADICIONAL DE</w:t>
      </w:r>
      <w:r>
        <w:t xml:space="preserve"> </w:t>
      </w:r>
      <w:r>
        <w:rPr>
          <w:i/>
          <w:iCs/>
        </w:rPr>
        <w:t xml:space="preserve">TAXI-OUT</w:t>
      </w:r>
    </w:p>
    <w:p>
      <w:pPr>
        <w:pStyle w:val="FirstParagraph"/>
      </w:pPr>
      <w:r>
        <w:t xml:space="preserve">Esse indicador tem a finalidade de demonstrar a eficiência no processo de</w:t>
      </w:r>
      <w:r>
        <w:t xml:space="preserve"> </w:t>
      </w:r>
      <w:r>
        <w:rPr>
          <w:i/>
          <w:iCs/>
        </w:rPr>
        <w:t xml:space="preserve">taxi-out</w:t>
      </w:r>
      <w:r>
        <w:t xml:space="preserve"> </w:t>
      </w:r>
      <w:r>
        <w:t xml:space="preserve">(ou taxi de saída do avião), tendo também a função de estimar o excesso de consumo de combustível e emissões decorrentes. Diversos fatores podem afetar esse indicador, tais como o layout das pistas de taxi e decolagem do aeroporto, obras em andamento, medidas ATFM (como o intervalo mínimo de decolagem), bem como o padrão operacional adotado pelos usuários e pelo controle de tráfego aéreo.</w:t>
      </w:r>
    </w:p>
    <w:p>
      <w:pPr>
        <w:pStyle w:val="Corpodetexto"/>
      </w:pPr>
      <w:r>
        <w:t xml:space="preserve">O tempo adicional de</w:t>
      </w:r>
      <w:r>
        <w:t xml:space="preserve"> </w:t>
      </w:r>
      <w:r>
        <w:rPr>
          <w:i/>
          <w:iCs/>
        </w:rPr>
        <w:t xml:space="preserve">taxi-out</w:t>
      </w:r>
      <w:r>
        <w:t xml:space="preserve"> </w:t>
      </w:r>
      <w:r>
        <w:t xml:space="preserve">é calculado pela diferença entre o tempo médio de</w:t>
      </w:r>
      <w:r>
        <w:t xml:space="preserve"> </w:t>
      </w:r>
      <w:r>
        <w:rPr>
          <w:i/>
          <w:iCs/>
        </w:rPr>
        <w:t xml:space="preserve">taxi-out</w:t>
      </w:r>
      <w:r>
        <w:t xml:space="preserve"> </w:t>
      </w:r>
      <w:r>
        <w:t xml:space="preserve">e o tempo de taxi desimpedido. Este último representa o deslocamento sem interrupções, calculado a partir do 20º percentil de todas as amostras de tempo de taxi. O tempo médio de</w:t>
      </w:r>
      <w:r>
        <w:t xml:space="preserve"> </w:t>
      </w:r>
      <w:r>
        <w:rPr>
          <w:i/>
          <w:iCs/>
        </w:rPr>
        <w:t xml:space="preserve">taxi-out</w:t>
      </w:r>
      <w:r>
        <w:t xml:space="preserve"> </w:t>
      </w:r>
      <w:r>
        <w:t xml:space="preserve">é determinado pela diferença entre o horário real de retirada dos calços (</w:t>
      </w:r>
      <w:r>
        <w:rPr>
          <w:i/>
          <w:iCs/>
        </w:rPr>
        <w:t xml:space="preserve">Actual Off-Block Time</w:t>
      </w:r>
      <w:r>
        <w:t xml:space="preserve"> </w:t>
      </w:r>
      <w:r>
        <w:t xml:space="preserve">– AOBT) e o horário real de decolagem (</w:t>
      </w:r>
      <w:r>
        <w:rPr>
          <w:i/>
          <w:iCs/>
        </w:rPr>
        <w:t xml:space="preserve">Actual Take-Off Time</w:t>
      </w:r>
      <w:r>
        <w:t xml:space="preserve"> </w:t>
      </w:r>
      <w:r>
        <w:t xml:space="preserve">– ATOT).</w:t>
      </w:r>
    </w:p>
    <w:p>
      <w:pPr>
        <w:pStyle w:val="Corpodetexto"/>
      </w:pPr>
      <w:r>
        <w:t xml:space="preserve">Possíveis atrasos no processo de pushback e o aumento do tempo de ocupação da pista de decolagem também podem impactar o tempo de</w:t>
      </w:r>
      <w:r>
        <w:t xml:space="preserve"> </w:t>
      </w:r>
      <w:r>
        <w:rPr>
          <w:i/>
          <w:iCs/>
        </w:rPr>
        <w:t xml:space="preserve">taxi-out</w:t>
      </w:r>
      <w:r>
        <w:t xml:space="preserve">. Além dos fatores já mencionados, é importante considerar o impacto significativo das condições meteorológicas adversas, como neblina, chuva intensa ou ventos fortes, que podem influenciar diretamente no tempo de</w:t>
      </w:r>
      <w:r>
        <w:t xml:space="preserve"> </w:t>
      </w:r>
      <w:r>
        <w:rPr>
          <w:i/>
          <w:iCs/>
        </w:rPr>
        <w:t xml:space="preserve">taxi-out</w:t>
      </w:r>
      <w:r>
        <w:t xml:space="preserv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Corpodetexto"/>
            </w:pPr>
            <w:pPr>
              <w:spacing w:before="0" w:after="0"/>
              <w:textAlignment w:val="center"/>
            </w:pPr>
            <w:r>
              <w:drawing>
                <wp:inline>
                  <wp:extent cx="152400" cy="152400"/>
                  <wp:effectExtent b="0" l="0" r="0" t="0"/>
                  <wp:docPr descr="" title="" id="234" name="Picture"/>
                  <a:graphic>
                    <a:graphicData uri="http://schemas.openxmlformats.org/drawingml/2006/picture">
                      <pic:pic>
                        <pic:nvPicPr>
                          <pic:cNvPr descr="/opt/quarto/share/formats/docx/important.png" id="235" name="Picture"/>
                          <pic:cNvPicPr>
                            <a:picLocks noChangeArrowheads="1" noChangeAspect="1"/>
                          </pic:cNvPicPr>
                        </pic:nvPicPr>
                        <pic:blipFill>
                          <a:blip r:embed="rId23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Importante</w:t>
            </w:r>
          </w:p>
        </w:tc>
      </w:tr>
      <w:tr>
        <w:trPr>
          <w:cantSplit/>
        </w:trPr>
        <w:tc>
          <w:tcPr>
            <w:tcMar>
              <w:top w:w="108" w:type="dxa"/>
              <w:bottom w:w="108" w:type="dxa"/>
            </w:tcMar>
          </w:tcPr>
          <w:p>
            <w:pPr>
              <w:pStyle w:val="Corpodetexto"/>
            </w:pPr>
            <w:pPr>
              <w:spacing w:before="16" w:after="16"/>
            </w:pPr>
            <w:r>
              <w:t xml:space="preserve">A metodologia utilizada para o cálculo do KPI02 passou por atualização em setembro de 2025, com mudanças significativas nos resultados. Uma mudança de referência consistiu na substituição do ano-base de 2019 por 2023 no cálculo do tempo desimpedido de táxi, por refletir melhor o cenário operacional pós-pandemia. A outra mudança consiste nos tempos adicionais inferiores ao desimpedido eram considerados zero</w:t>
            </w:r>
            <w:r>
              <w:t xml:space="preserve"> </w:t>
            </w:r>
            <w:r>
              <w:t xml:space="preserve">“0”</w:t>
            </w:r>
            <w:r>
              <w:t xml:space="preserve">, com a atualização, passou-se a aceitar valores negativos, com o limite de até -6 minutos (-2 minutos para o</w:t>
            </w:r>
            <w:r>
              <w:t xml:space="preserve"> </w:t>
            </w:r>
            <w:r>
              <w:rPr>
                <w:i/>
                <w:iCs/>
              </w:rPr>
              <w:t xml:space="preserve">taxi-in</w:t>
            </w:r>
            <w:r>
              <w:t xml:space="preserve">), ou seja, o máximo de 6 minutos abaixo do desimpedido.</w:t>
            </w:r>
          </w:p>
          <w:p/>
        </w:tc>
      </w:tr>
    </w:tbl>
    <w:p>
      <w:pPr>
        <w:pStyle w:val="Corpodetexto"/>
      </w:pPr>
      <w:r>
        <w:drawing>
          <wp:inline>
            <wp:extent cx="6642100" cy="2878243"/>
            <wp:effectExtent b="0" l="0" r="0" t="0"/>
            <wp:docPr descr="" title="" id="237" name="Picture"/>
            <a:graphic>
              <a:graphicData uri="http://schemas.openxmlformats.org/drawingml/2006/picture">
                <pic:pic>
                  <pic:nvPicPr>
                    <pic:cNvPr descr="03-Indicadores_files/figure-docx/unnamed-chunk-3-1.png" id="238" name="Picture"/>
                    <pic:cNvPicPr>
                      <a:picLocks noChangeArrowheads="1" noChangeAspect="1"/>
                    </pic:cNvPicPr>
                  </pic:nvPicPr>
                  <pic:blipFill>
                    <a:blip r:embed="rId236"/>
                    <a:stretch>
                      <a:fillRect/>
                    </a:stretch>
                  </pic:blipFill>
                  <pic:spPr bwMode="auto">
                    <a:xfrm>
                      <a:off x="0" y="0"/>
                      <a:ext cx="6642100" cy="2878243"/>
                    </a:xfrm>
                    <a:prstGeom prst="rect">
                      <a:avLst/>
                    </a:prstGeom>
                    <a:noFill/>
                    <a:ln w="9525">
                      <a:noFill/>
                      <a:headEnd/>
                      <a:tailEnd/>
                    </a:ln>
                  </pic:spPr>
                </pic:pic>
              </a:graphicData>
            </a:graphic>
          </wp:inline>
        </w:drawing>
      </w:r>
    </w:p>
    <w:tbl>
      <w:tblPr>
        <w:tblStyle w:val="Table"/>
        <w:tblW w:type="pct" w:w="5000"/>
        <w:tblLayout w:type="fixed"/>
        <w:tblLook w:firstRow="0" w:lastRow="0" w:firstColumn="0" w:lastColumn="0" w:noHBand="0" w:noVBand="0" w:val="0000"/>
      </w:tblPr>
      <w:tblGrid>
        <w:gridCol w:w="7920"/>
      </w:tblGrid>
      <w:tr>
        <w:tc>
          <w:tcPr/>
          <w:bookmarkStart w:id="242" w:name="fig-kpi-02"/>
          <w:p>
            <w:pPr>
              <w:pStyle w:val="Compact"/>
              <w:jc w:val="center"/>
            </w:pPr>
            <w:r>
              <w:drawing>
                <wp:inline>
                  <wp:extent cx="6642100" cy="2878243"/>
                  <wp:effectExtent b="0" l="0" r="0" t="0"/>
                  <wp:docPr descr="" title="" id="240" name="Picture"/>
                  <a:graphic>
                    <a:graphicData uri="http://schemas.openxmlformats.org/drawingml/2006/picture">
                      <pic:pic>
                        <pic:nvPicPr>
                          <pic:cNvPr descr="03-Indicadores_files/figure-docx/fig-kpi-02-1.png" id="241" name="Picture"/>
                          <pic:cNvPicPr>
                            <a:picLocks noChangeArrowheads="1" noChangeAspect="1"/>
                          </pic:cNvPicPr>
                        </pic:nvPicPr>
                        <pic:blipFill>
                          <a:blip r:embed="rId239"/>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3.10: KPI 02 - Tempo Adicional de</w:t>
            </w:r>
            <w:r>
              <w:t xml:space="preserve"> </w:t>
            </w:r>
            <w:r>
              <w:rPr>
                <w:i/>
                <w:iCs/>
              </w:rPr>
              <w:t xml:space="preserve">Taxi-Out</w:t>
            </w:r>
          </w:p>
          <w:bookmarkEnd w:id="242"/>
        </w:tc>
      </w:tr>
    </w:tbl>
    <w:p>
      <w:pPr>
        <w:pStyle w:val="Corpodetexto"/>
      </w:pPr>
      <w:r>
        <w:t xml:space="preserve">A</w:t>
      </w:r>
      <w:r>
        <w:t xml:space="preserve"> </w:t>
      </w:r>
      <w:hyperlink w:anchor="fig-kpi-02">
        <w:r>
          <w:rPr>
            <w:rStyle w:val="Hyperlink"/>
          </w:rPr>
          <w:t xml:space="preserve">Figura 3.10</w:t>
        </w:r>
      </w:hyperlink>
      <w:r>
        <w:t xml:space="preserve"> </w:t>
      </w:r>
      <w:r>
        <w:t xml:space="preserve">apresenta os resultados do tempo adicional de</w:t>
      </w:r>
      <w:r>
        <w:t xml:space="preserve"> </w:t>
      </w:r>
      <w:r>
        <w:rPr>
          <w:i/>
          <w:iCs/>
        </w:rPr>
        <w:t xml:space="preserve">taxi-out</w:t>
      </w:r>
      <w:r>
        <w:t xml:space="preserve"> </w:t>
      </w:r>
      <w:r>
        <w:t xml:space="preserve">para os últimos 3 anos dos quarenta aeroportos monitorados.</w:t>
      </w:r>
    </w:p>
    <w:p>
      <w:pPr>
        <w:pStyle w:val="Corpodetexto"/>
      </w:pPr>
      <w:r>
        <w:t xml:space="preserve">Em 2025, observou-se que 34 dos 40 aeroportos monitorados alcançaram a meta estabelecida pelo DECEA, ou seja, obtiveram um tempo adicional máximo de três minutos e 30 segundos, conforme previsto no PCA 100-3. Vale ressaltar que alguns aeroportos não foram incluídos na análise do tempo adicional de</w:t>
      </w:r>
      <w:r>
        <w:t xml:space="preserve"> </w:t>
      </w:r>
      <w:r>
        <w:rPr>
          <w:i/>
          <w:iCs/>
        </w:rPr>
        <w:t xml:space="preserve">taxi-out</w:t>
      </w:r>
      <w:r>
        <w:t xml:space="preserve">: quanto ao aeroporto de Campo de Marte (SBMT), não há voos comerciais; em relação a João Pessoa (SBJP), Presidente Prudente (SBDN), Teresina (SBTE) e Uberlândia (SBUL), foram encontradas discrepâncias muito altas a partir da implementação do TATIC FLOW, sendo assim, foi implementado uma solução de contorno que poderá ser revisado no futuro de forma mais completa. Dos aeroportos monitorados, 7 obtiveram uma melhoria no KPI 02 em relação ao ano anterior.</w:t>
      </w:r>
    </w:p>
    <w:p>
      <w:pPr>
        <w:pStyle w:val="Corpodetexto"/>
      </w:pPr>
      <w:r>
        <w:t xml:space="preserve">A empresa aérea GOL reduziu, significativamente, o seu tempo de</w:t>
      </w:r>
      <w:r>
        <w:t xml:space="preserve"> </w:t>
      </w:r>
      <w:r>
        <w:rPr>
          <w:i/>
          <w:iCs/>
        </w:rPr>
        <w:t xml:space="preserve">taxi-out</w:t>
      </w:r>
      <w:r>
        <w:t xml:space="preserve"> </w:t>
      </w:r>
      <w:r>
        <w:t xml:space="preserve">em todos os aeroportos monitorados desde fevereiro de 2025, essa redução ajudou no alcance da meta do tempo adicional. No aeroporto de Congonhas (SBSP), essa redução da GOL foi somada a redução de voos da aviação geral que diminuíram bastante o tempo adicional de</w:t>
      </w:r>
      <w:r>
        <w:t xml:space="preserve"> </w:t>
      </w:r>
      <w:r>
        <w:rPr>
          <w:i/>
          <w:iCs/>
        </w:rPr>
        <w:t xml:space="preserve">taxi-out</w:t>
      </w:r>
      <w:r>
        <w:t xml:space="preserve">, de 5,5 minutos em 2024 para 3,2 minutos em 2025.</w:t>
      </w:r>
    </w:p>
    <w:tbl>
      <w:tblPr>
        <w:tblStyle w:val="Table"/>
        <w:tblW w:type="pct" w:w="5000"/>
        <w:tblLayout w:type="fixed"/>
        <w:tblLook w:firstRow="0" w:lastRow="0" w:firstColumn="0" w:lastColumn="0" w:noHBand="0" w:noVBand="0" w:val="0000"/>
      </w:tblPr>
      <w:tblGrid>
        <w:gridCol w:w="7920"/>
      </w:tblGrid>
      <w:tr>
        <w:tc>
          <w:tcPr/>
          <w:bookmarkStart w:id="243" w:name="tbl-kpi02_acima_meta"/>
          <w:p>
            <w:pPr>
              <w:jc w:val="center"/>
            </w:pPr>
            <w:pPr>
              <w:jc w:val="left"/>
              <w:spacing w:before="200"/>
              <w:pStyle w:val="ImageCaption"/>
            </w:pPr>
            <w:r>
              <w:t xml:space="preserve">Tabela 3.5: Tabela aeroportos com adicional de taxi-out &gt;3.5</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center"/>
                    <w:jc w:val="center"/>
                  </w:pPr>
                  <w:r>
                    <w:t xml:space="preserve">INDICATIVO</w:t>
                  </w:r>
                </w:p>
              </w:tc>
              <w:tc>
                <w:tcPr/>
                <w:p>
                  <w:pPr>
                    <w:pStyle w:val="Compact"/>
                    <w:jc w:val="center"/>
                    <w:jc w:val="center"/>
                  </w:pPr>
                  <w:r>
                    <w:t xml:space="preserve">AEROPORTO</w:t>
                  </w:r>
                </w:p>
              </w:tc>
              <w:tc>
                <w:tcPr/>
                <w:p>
                  <w:pPr>
                    <w:pStyle w:val="Compact"/>
                    <w:jc w:val="center"/>
                    <w:jc w:val="center"/>
                  </w:pPr>
                  <w:r>
                    <w:t xml:space="preserve">ADICIONAL</w:t>
                  </w:r>
                </w:p>
              </w:tc>
            </w:tr>
            <w:tr>
              <w:tc>
                <w:tcPr/>
                <w:p>
                  <w:pPr>
                    <w:pStyle w:val="Compact"/>
                    <w:jc w:val="center"/>
                    <w:jc w:val="center"/>
                  </w:pPr>
                  <w:r>
                    <w:t xml:space="preserve">SBGL</w:t>
                  </w:r>
                </w:p>
              </w:tc>
              <w:tc>
                <w:tcPr/>
                <w:p>
                  <w:pPr>
                    <w:pStyle w:val="Compact"/>
                    <w:jc w:val="center"/>
                    <w:jc w:val="center"/>
                  </w:pPr>
                  <w:r>
                    <w:t xml:space="preserve">Rio de Janeiro (Galeão)</w:t>
                  </w:r>
                </w:p>
              </w:tc>
              <w:tc>
                <w:tcPr/>
                <w:p>
                  <w:pPr>
                    <w:pStyle w:val="Compact"/>
                    <w:jc w:val="center"/>
                    <w:jc w:val="center"/>
                  </w:pPr>
                  <w:r>
                    <w:t xml:space="preserve">3.53</w:t>
                  </w:r>
                </w:p>
              </w:tc>
            </w:tr>
            <w:tr>
              <w:tc>
                <w:tcPr/>
                <w:p>
                  <w:pPr>
                    <w:pStyle w:val="Compact"/>
                    <w:jc w:val="center"/>
                    <w:jc w:val="center"/>
                  </w:pPr>
                  <w:r>
                    <w:t xml:space="preserve">SBFN</w:t>
                  </w:r>
                </w:p>
              </w:tc>
              <w:tc>
                <w:tcPr/>
                <w:p>
                  <w:pPr>
                    <w:pStyle w:val="Compact"/>
                    <w:jc w:val="center"/>
                    <w:jc w:val="center"/>
                  </w:pPr>
                  <w:r>
                    <w:t xml:space="preserve">Fernando de Noronha</w:t>
                  </w:r>
                </w:p>
              </w:tc>
              <w:tc>
                <w:tcPr/>
                <w:p>
                  <w:pPr>
                    <w:pStyle w:val="Compact"/>
                    <w:jc w:val="center"/>
                    <w:jc w:val="center"/>
                  </w:pPr>
                  <w:r>
                    <w:t xml:space="preserve">4.57</w:t>
                  </w:r>
                </w:p>
              </w:tc>
            </w:tr>
            <w:tr>
              <w:tc>
                <w:tcPr/>
                <w:p>
                  <w:pPr>
                    <w:pStyle w:val="Compact"/>
                    <w:jc w:val="center"/>
                    <w:jc w:val="center"/>
                  </w:pPr>
                  <w:r>
                    <w:t xml:space="preserve">SBGR</w:t>
                  </w:r>
                </w:p>
              </w:tc>
              <w:tc>
                <w:tcPr/>
                <w:p>
                  <w:pPr>
                    <w:pStyle w:val="Compact"/>
                    <w:jc w:val="center"/>
                    <w:jc w:val="center"/>
                  </w:pPr>
                  <w:r>
                    <w:t xml:space="preserve">São Paulo (Guarulhos)</w:t>
                  </w:r>
                </w:p>
              </w:tc>
              <w:tc>
                <w:tcPr/>
                <w:p>
                  <w:pPr>
                    <w:pStyle w:val="Compact"/>
                    <w:jc w:val="center"/>
                    <w:jc w:val="center"/>
                  </w:pPr>
                  <w:r>
                    <w:t xml:space="preserve">4.79</w:t>
                  </w:r>
                </w:p>
              </w:tc>
            </w:tr>
            <w:tr>
              <w:tc>
                <w:tcPr/>
                <w:p>
                  <w:pPr>
                    <w:pStyle w:val="Compact"/>
                    <w:jc w:val="center"/>
                    <w:jc w:val="center"/>
                  </w:pPr>
                  <w:r>
                    <w:t xml:space="preserve">SBJR</w:t>
                  </w:r>
                </w:p>
              </w:tc>
              <w:tc>
                <w:tcPr/>
                <w:p>
                  <w:pPr>
                    <w:pStyle w:val="Compact"/>
                    <w:jc w:val="center"/>
                    <w:jc w:val="center"/>
                  </w:pPr>
                  <w:r>
                    <w:t xml:space="preserve">Rio de Janeiro (Jacarepaguá)</w:t>
                  </w:r>
                </w:p>
              </w:tc>
              <w:tc>
                <w:tcPr/>
                <w:p>
                  <w:pPr>
                    <w:pStyle w:val="Compact"/>
                    <w:jc w:val="center"/>
                    <w:jc w:val="center"/>
                  </w:pPr>
                  <w:r>
                    <w:t xml:space="preserve">6.14</w:t>
                  </w:r>
                </w:p>
              </w:tc>
            </w:tr>
            <w:tr>
              <w:tc>
                <w:tcPr/>
                <w:p>
                  <w:pPr>
                    <w:pStyle w:val="Compact"/>
                    <w:jc w:val="center"/>
                    <w:jc w:val="center"/>
                  </w:pPr>
                  <w:r>
                    <w:t xml:space="preserve">SBDN</w:t>
                  </w:r>
                </w:p>
              </w:tc>
              <w:tc>
                <w:tcPr/>
                <w:p>
                  <w:pPr>
                    <w:pStyle w:val="Compact"/>
                    <w:jc w:val="center"/>
                    <w:jc w:val="center"/>
                  </w:pPr>
                  <w:r>
                    <w:t xml:space="preserve">Presidente Prudente</w:t>
                  </w:r>
                </w:p>
              </w:tc>
              <w:tc>
                <w:tcPr/>
                <w:p>
                  <w:pPr>
                    <w:pStyle w:val="Compact"/>
                    <w:jc w:val="center"/>
                    <w:jc w:val="center"/>
                  </w:pPr>
                  <w:r>
                    <w:t xml:space="preserve">7.29</w:t>
                  </w:r>
                </w:p>
              </w:tc>
            </w:tr>
          </w:tbl>
          <w:bookmarkEnd w:id="243"/>
          <w:p/>
        </w:tc>
      </w:tr>
    </w:tbl>
    <w:tbl>
      <w:tblPr>
        <w:tblStyle w:val="Table"/>
        <w:tblW w:type="pct" w:w="5000"/>
        <w:tblLayout w:type="fixed"/>
        <w:tblLook w:firstRow="0" w:lastRow="0" w:firstColumn="0" w:lastColumn="0" w:noHBand="0" w:noVBand="0" w:val="0000"/>
      </w:tblPr>
      <w:tblGrid>
        <w:gridCol w:w="7920"/>
      </w:tblGrid>
      <w:tr>
        <w:tc>
          <w:tcPr/>
          <w:bookmarkStart w:id="247" w:name="fig-kpi-02-regional"/>
          <w:p>
            <w:pPr>
              <w:pStyle w:val="Compact"/>
              <w:jc w:val="center"/>
            </w:pPr>
            <w:r>
              <w:drawing>
                <wp:inline>
                  <wp:extent cx="6642100" cy="2878243"/>
                  <wp:effectExtent b="0" l="0" r="0" t="0"/>
                  <wp:docPr descr="" title="" id="245" name="Picture"/>
                  <a:graphic>
                    <a:graphicData uri="http://schemas.openxmlformats.org/drawingml/2006/picture">
                      <pic:pic>
                        <pic:nvPicPr>
                          <pic:cNvPr descr="03-Indicadores_files/figure-docx/fig-kpi-02-regional-1.png" id="246" name="Picture"/>
                          <pic:cNvPicPr>
                            <a:picLocks noChangeArrowheads="1" noChangeAspect="1"/>
                          </pic:cNvPicPr>
                        </pic:nvPicPr>
                        <pic:blipFill>
                          <a:blip r:embed="rId244"/>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3.11: KPI 02 - Tempo Adicional de</w:t>
            </w:r>
            <w:r>
              <w:t xml:space="preserve"> </w:t>
            </w:r>
            <w:r>
              <w:rPr>
                <w:i/>
                <w:iCs/>
              </w:rPr>
              <w:t xml:space="preserve">Taxi-Out</w:t>
            </w:r>
            <w:r>
              <w:t xml:space="preserve"> </w:t>
            </w:r>
            <w:r>
              <w:t xml:space="preserve">por Regional</w:t>
            </w:r>
          </w:p>
          <w:bookmarkEnd w:id="247"/>
        </w:tc>
      </w:tr>
    </w:tbl>
    <w:p>
      <w:pPr>
        <w:pStyle w:val="Corpodetexto"/>
      </w:pPr>
      <w:r>
        <w:t xml:space="preserve">Pode-se observar na</w:t>
      </w:r>
      <w:r>
        <w:t xml:space="preserve"> </w:t>
      </w:r>
      <w:hyperlink w:anchor="fig-kpi-02-regional">
        <w:r>
          <w:rPr>
            <w:rStyle w:val="Hyperlink"/>
          </w:rPr>
          <w:t xml:space="preserve">Figura 3.11</w:t>
        </w:r>
      </w:hyperlink>
      <w:r>
        <w:t xml:space="preserve"> </w:t>
      </w:r>
      <w:r>
        <w:t xml:space="preserve">que todos os Órgãos Regionais apresentaram redução no KPI 02 de 2025 se comparado aos anos anteriores, o que resultou na redução do referido índice no âmbito do SISCEAB. O CRCEA-SE, no entanto, manteve-se fora da meta, apesar de apresentar uma redução de 0,64 pontos percentuais se comparado ao ano anterior. Os demais Regionais mantiveram-se dentro da meta, assim como o índice do SISCEAB.</w:t>
      </w:r>
    </w:p>
    <w:bookmarkEnd w:id="248"/>
    <w:bookmarkStart w:id="263" w:name="kpi-13-tempo-adicional-de-taxi-in"/>
    <w:p>
      <w:pPr>
        <w:pStyle w:val="Ttulo3"/>
      </w:pPr>
      <w:r>
        <w:t xml:space="preserve">3.2.2 KPI 13 – TEMPO ADICIONAL DE</w:t>
      </w:r>
      <w:r>
        <w:t xml:space="preserve"> </w:t>
      </w:r>
      <w:r>
        <w:rPr>
          <w:i/>
          <w:iCs/>
        </w:rPr>
        <w:t xml:space="preserve">TAXI-IN</w:t>
      </w:r>
    </w:p>
    <w:p>
      <w:pPr>
        <w:pStyle w:val="FirstParagraph"/>
      </w:pPr>
      <w:r>
        <w:t xml:space="preserve">O KPI 13 tem como objetivo avaliar a eficiência do</w:t>
      </w:r>
      <w:r>
        <w:t xml:space="preserve"> </w:t>
      </w:r>
      <w:r>
        <w:rPr>
          <w:i/>
          <w:iCs/>
        </w:rPr>
        <w:t xml:space="preserve">taxi-in</w:t>
      </w:r>
      <w:r>
        <w:t xml:space="preserve">, ou seja, o tempo gasto pela aeronave desde o pouso até a chegada ao portão de desembarque. Esse indicador é calculado pela diferença entre o tempo médio de</w:t>
      </w:r>
      <w:r>
        <w:t xml:space="preserve"> </w:t>
      </w:r>
      <w:r>
        <w:rPr>
          <w:i/>
          <w:iCs/>
        </w:rPr>
        <w:t xml:space="preserve">taxi-in</w:t>
      </w:r>
      <w:r>
        <w:t xml:space="preserve"> </w:t>
      </w:r>
      <w:r>
        <w:t xml:space="preserve">e o tempo de taxi desimpedido. O tempo médio de</w:t>
      </w:r>
      <w:r>
        <w:t xml:space="preserve"> </w:t>
      </w:r>
      <w:r>
        <w:rPr>
          <w:i/>
          <w:iCs/>
        </w:rPr>
        <w:t xml:space="preserve">taxi-in</w:t>
      </w:r>
      <w:r>
        <w:t xml:space="preserve">, por sua vez, é obtido pela diferença entre o horário real de pouso (</w:t>
      </w:r>
      <w:r>
        <w:rPr>
          <w:i/>
          <w:iCs/>
        </w:rPr>
        <w:t xml:space="preserve">Actual Landing Time</w:t>
      </w:r>
      <w:r>
        <w:t xml:space="preserve"> </w:t>
      </w:r>
      <w:r>
        <w:t xml:space="preserve">– ALDT) e o horário real de estacionamento da aeronave com calços posicionados (</w:t>
      </w:r>
      <w:r>
        <w:rPr>
          <w:i/>
          <w:iCs/>
        </w:rPr>
        <w:t xml:space="preserve">Actual In-Block Time</w:t>
      </w:r>
      <w:r>
        <w:t xml:space="preserve"> </w:t>
      </w:r>
      <w:r>
        <w:t xml:space="preserve">– AIBT).</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Corpodetexto"/>
            </w:pPr>
            <w:pPr>
              <w:spacing w:before="0" w:after="0"/>
              <w:textAlignment w:val="center"/>
            </w:pPr>
            <w:r>
              <w:drawing>
                <wp:inline>
                  <wp:extent cx="152400" cy="152400"/>
                  <wp:effectExtent b="0" l="0" r="0" t="0"/>
                  <wp:docPr descr="" title="" id="249" name="Picture"/>
                  <a:graphic>
                    <a:graphicData uri="http://schemas.openxmlformats.org/drawingml/2006/picture">
                      <pic:pic>
                        <pic:nvPicPr>
                          <pic:cNvPr descr="/opt/quarto/share/formats/docx/important.png" id="250" name="Picture"/>
                          <pic:cNvPicPr>
                            <a:picLocks noChangeArrowheads="1" noChangeAspect="1"/>
                          </pic:cNvPicPr>
                        </pic:nvPicPr>
                        <pic:blipFill>
                          <a:blip r:embed="rId23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Importante</w:t>
            </w:r>
          </w:p>
        </w:tc>
      </w:tr>
      <w:tr>
        <w:trPr>
          <w:cantSplit/>
        </w:trPr>
        <w:tc>
          <w:tcPr>
            <w:tcMar>
              <w:top w:w="108" w:type="dxa"/>
              <w:bottom w:w="108" w:type="dxa"/>
            </w:tcMar>
          </w:tcPr>
          <w:p>
            <w:pPr>
              <w:pStyle w:val="Corpodetexto"/>
            </w:pPr>
            <w:pPr>
              <w:spacing w:before="16" w:after="16"/>
            </w:pPr>
            <w:r>
              <w:t xml:space="preserve">Vale ressaltar que a meta para este indicador é de 2 minutos, assim como também houve revisão da metodologia aplicada conforme descrito no KPI02 – Tempo Adicional de</w:t>
            </w:r>
            <w:r>
              <w:t xml:space="preserve"> </w:t>
            </w:r>
            <w:r>
              <w:rPr>
                <w:i/>
                <w:iCs/>
              </w:rPr>
              <w:t xml:space="preserve">Taxi-Out</w:t>
            </w:r>
            <w:r>
              <w:t xml:space="preserve">.</w:t>
            </w:r>
          </w:p>
          <w:p/>
        </w:tc>
      </w:tr>
    </w:tbl>
    <w:p>
      <w:pPr>
        <w:pStyle w:val="Corpodetexto"/>
      </w:pPr>
      <w:r>
        <w:t xml:space="preserve">Cabe destacar que alguns aeroportos não foram incluídos na análise do tempo adicional de</w:t>
      </w:r>
      <w:r>
        <w:t xml:space="preserve"> </w:t>
      </w:r>
      <w:r>
        <w:rPr>
          <w:i/>
          <w:iCs/>
        </w:rPr>
        <w:t xml:space="preserve">taxi-out</w:t>
      </w:r>
      <w:r>
        <w:t xml:space="preserve"> </w:t>
      </w:r>
      <w:r>
        <w:t xml:space="preserve">e</w:t>
      </w:r>
      <w:r>
        <w:t xml:space="preserve"> </w:t>
      </w:r>
      <w:r>
        <w:rPr>
          <w:i/>
          <w:iCs/>
        </w:rPr>
        <w:t xml:space="preserve">taxi-in</w:t>
      </w:r>
      <w:r>
        <w:t xml:space="preserve">, seja por não possuírem voos comerciais, como o Campo de Marte, seja por apresentarem discrepâncias nos dados após a análise da implementação do TATIC FLOW, como nos casos de João Pessoa, Presidente Prudente, Teresina e Uberlândia. Por esse motivo, está sendo adotada uma solução provisória, passível de revisão futura.</w:t>
      </w:r>
    </w:p>
    <w:p>
      <w:pPr>
        <w:pStyle w:val="Corpodetexto"/>
      </w:pPr>
      <w:r>
        <w:drawing>
          <wp:inline>
            <wp:extent cx="6642100" cy="2878243"/>
            <wp:effectExtent b="0" l="0" r="0" t="0"/>
            <wp:docPr descr="" title="" id="252" name="Picture"/>
            <a:graphic>
              <a:graphicData uri="http://schemas.openxmlformats.org/drawingml/2006/picture">
                <pic:pic>
                  <pic:nvPicPr>
                    <pic:cNvPr descr="03-Indicadores_files/figure-docx/unnamed-chunk-4-1.png" id="253" name="Picture"/>
                    <pic:cNvPicPr>
                      <a:picLocks noChangeArrowheads="1" noChangeAspect="1"/>
                    </pic:cNvPicPr>
                  </pic:nvPicPr>
                  <pic:blipFill>
                    <a:blip r:embed="rId251"/>
                    <a:stretch>
                      <a:fillRect/>
                    </a:stretch>
                  </pic:blipFill>
                  <pic:spPr bwMode="auto">
                    <a:xfrm>
                      <a:off x="0" y="0"/>
                      <a:ext cx="6642100" cy="2878243"/>
                    </a:xfrm>
                    <a:prstGeom prst="rect">
                      <a:avLst/>
                    </a:prstGeom>
                    <a:noFill/>
                    <a:ln w="9525">
                      <a:noFill/>
                      <a:headEnd/>
                      <a:tailEnd/>
                    </a:ln>
                  </pic:spPr>
                </pic:pic>
              </a:graphicData>
            </a:graphic>
          </wp:inline>
        </w:drawing>
      </w:r>
    </w:p>
    <w:tbl>
      <w:tblPr>
        <w:tblStyle w:val="Table"/>
        <w:tblW w:type="pct" w:w="5000"/>
        <w:tblLayout w:type="fixed"/>
        <w:tblLook w:firstRow="0" w:lastRow="0" w:firstColumn="0" w:lastColumn="0" w:noHBand="0" w:noVBand="0" w:val="0000"/>
      </w:tblPr>
      <w:tblGrid>
        <w:gridCol w:w="7920"/>
      </w:tblGrid>
      <w:tr>
        <w:tc>
          <w:tcPr/>
          <w:bookmarkStart w:id="257" w:name="fig-kpi-13"/>
          <w:p>
            <w:pPr>
              <w:pStyle w:val="Compact"/>
              <w:jc w:val="center"/>
            </w:pPr>
            <w:r>
              <w:drawing>
                <wp:inline>
                  <wp:extent cx="6642100" cy="2878243"/>
                  <wp:effectExtent b="0" l="0" r="0" t="0"/>
                  <wp:docPr descr="" title="" id="255" name="Picture"/>
                  <a:graphic>
                    <a:graphicData uri="http://schemas.openxmlformats.org/drawingml/2006/picture">
                      <pic:pic>
                        <pic:nvPicPr>
                          <pic:cNvPr descr="03-Indicadores_files/figure-docx/fig-kpi-13-1.png" id="256" name="Picture"/>
                          <pic:cNvPicPr>
                            <a:picLocks noChangeArrowheads="1" noChangeAspect="1"/>
                          </pic:cNvPicPr>
                        </pic:nvPicPr>
                        <pic:blipFill>
                          <a:blip r:embed="rId254"/>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3.12: KPI 13 - Tempo Adicional de</w:t>
            </w:r>
            <w:r>
              <w:t xml:space="preserve"> </w:t>
            </w:r>
            <w:r>
              <w:rPr>
                <w:i/>
                <w:iCs/>
              </w:rPr>
              <w:t xml:space="preserve">Taxi-In</w:t>
            </w:r>
          </w:p>
          <w:bookmarkEnd w:id="257"/>
        </w:tc>
      </w:tr>
    </w:tbl>
    <w:p>
      <w:pPr>
        <w:pStyle w:val="Corpodetexto"/>
      </w:pPr>
      <w:r>
        <w:t xml:space="preserve">A</w:t>
      </w:r>
      <w:r>
        <w:t xml:space="preserve"> </w:t>
      </w:r>
      <w:hyperlink w:anchor="fig-kpi-13">
        <w:r>
          <w:rPr>
            <w:rStyle w:val="Hyperlink"/>
          </w:rPr>
          <w:t xml:space="preserve">Figura 3.12</w:t>
        </w:r>
      </w:hyperlink>
      <w:r>
        <w:t xml:space="preserve"> </w:t>
      </w:r>
      <w:r>
        <w:t xml:space="preserve">apresenta os resultados do tempo adicional de</w:t>
      </w:r>
      <w:r>
        <w:t xml:space="preserve"> </w:t>
      </w:r>
      <w:r>
        <w:rPr>
          <w:i/>
          <w:iCs/>
        </w:rPr>
        <w:t xml:space="preserve">taxi-in</w:t>
      </w:r>
      <w:r>
        <w:t xml:space="preserve"> </w:t>
      </w:r>
      <w:r>
        <w:t xml:space="preserve">dos 40 aeroportos monitorados nos últimos 3 anos, apenas três ficaram fora da meta prevista, o aeroporto de Guarulhos (SBGR), Congonhas (SBSP) e Jacarepaguá (SBJR). Esse tempo pode ser impactado por atrasos na definição do portão de estacionamento, no balizamento da aeronave ou pelo aumento do tempo de ocupação da pista, enquanto o tempo desimpedido é calculado a partir do vigésimo percentil das amostras.</w:t>
      </w:r>
    </w:p>
    <w:p>
      <w:pPr>
        <w:pStyle w:val="Corpodetexto"/>
      </w:pPr>
      <w:r>
        <w:t xml:space="preserve">O Aeroporto de Congonhas (SBSP) apresentou 3 minutos de tempo adicional de</w:t>
      </w:r>
      <w:r>
        <w:t xml:space="preserve"> </w:t>
      </w:r>
      <w:r>
        <w:rPr>
          <w:i/>
          <w:iCs/>
        </w:rPr>
        <w:t xml:space="preserve">taxi-in</w:t>
      </w:r>
      <w:r>
        <w:t xml:space="preserve">, acima da meta. Esse resultado foi impulsionado no último trimestre de 2025, quando registrou resultados mensais acima de 3 minutos e o mais alto em dezembro com 6,5 minutos.</w:t>
      </w:r>
    </w:p>
    <w:p>
      <w:pPr>
        <w:pStyle w:val="Corpodetexto"/>
      </w:pPr>
      <w:r>
        <w:t xml:space="preserve">Em 2025, os aeroportos com melhor desempenho no KPI 13 foram, Boa Vista (SBBV) com 0,6 minutos, Ribeirão Preto (SBRP) com 0,7 minutos e Campo Grande (SBCG) com 0,9 minutos.</w:t>
      </w:r>
    </w:p>
    <w:tbl>
      <w:tblPr>
        <w:tblStyle w:val="Table"/>
        <w:tblW w:type="pct" w:w="5000"/>
        <w:tblLayout w:type="fixed"/>
        <w:tblLook w:firstRow="0" w:lastRow="0" w:firstColumn="0" w:lastColumn="0" w:noHBand="0" w:noVBand="0" w:val="0000"/>
      </w:tblPr>
      <w:tblGrid>
        <w:gridCol w:w="7920"/>
      </w:tblGrid>
      <w:tr>
        <w:tc>
          <w:tcPr/>
          <w:bookmarkStart w:id="261" w:name="fig-kpi-13-regional"/>
          <w:p>
            <w:pPr>
              <w:pStyle w:val="Compact"/>
              <w:jc w:val="center"/>
            </w:pPr>
            <w:r>
              <w:drawing>
                <wp:inline>
                  <wp:extent cx="6642100" cy="2878243"/>
                  <wp:effectExtent b="0" l="0" r="0" t="0"/>
                  <wp:docPr descr="" title="" id="259" name="Picture"/>
                  <a:graphic>
                    <a:graphicData uri="http://schemas.openxmlformats.org/drawingml/2006/picture">
                      <pic:pic>
                        <pic:nvPicPr>
                          <pic:cNvPr descr="03-Indicadores_files/figure-docx/fig-kpi-13-regional-1.png" id="260" name="Picture"/>
                          <pic:cNvPicPr>
                            <a:picLocks noChangeArrowheads="1" noChangeAspect="1"/>
                          </pic:cNvPicPr>
                        </pic:nvPicPr>
                        <pic:blipFill>
                          <a:blip r:embed="rId258"/>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3.13: KPI 13 - Tempo Adicional de</w:t>
            </w:r>
            <w:r>
              <w:t xml:space="preserve"> </w:t>
            </w:r>
            <w:r>
              <w:rPr>
                <w:i/>
                <w:iCs/>
              </w:rPr>
              <w:t xml:space="preserve">Taxi-In</w:t>
            </w:r>
            <w:r>
              <w:t xml:space="preserve"> </w:t>
            </w:r>
            <w:r>
              <w:t xml:space="preserve">por Regional</w:t>
            </w:r>
          </w:p>
          <w:bookmarkEnd w:id="261"/>
        </w:tc>
      </w:tr>
    </w:tbl>
    <w:p>
      <w:pPr>
        <w:pStyle w:val="Corpodetexto"/>
      </w:pPr>
      <w:r>
        <w:t xml:space="preserve">A</w:t>
      </w:r>
      <w:r>
        <w:t xml:space="preserve"> </w:t>
      </w:r>
      <w:hyperlink w:anchor="fig-kpi-13-regional">
        <w:r>
          <w:rPr>
            <w:rStyle w:val="Hyperlink"/>
          </w:rPr>
          <w:t xml:space="preserve">Figura 3.13</w:t>
        </w:r>
      </w:hyperlink>
      <w:r>
        <w:t xml:space="preserve"> </w:t>
      </w:r>
      <w:r>
        <w:t xml:space="preserve">demonstra a comparação entre os Regionais nos últimos 3 anos, considerando as médias ponderadas dos 40 aeroportos monitorados.</w:t>
      </w:r>
    </w:p>
    <w:p>
      <w:pPr>
        <w:pStyle w:val="Corpodetexto"/>
      </w:pPr>
      <w:r>
        <w:t xml:space="preserve">Houve redução no tempo adicional de</w:t>
      </w:r>
      <w:r>
        <w:t xml:space="preserve"> </w:t>
      </w:r>
      <w:r>
        <w:rPr>
          <w:i/>
          <w:iCs/>
        </w:rPr>
        <w:t xml:space="preserve">taxi-in</w:t>
      </w:r>
      <w:r>
        <w:t xml:space="preserve"> </w:t>
      </w:r>
      <w:r>
        <w:t xml:space="preserve">tanto no CINDACTA II quanto no CINDACTA IV. Em contrapartida, houve aumento nos demais regionais, mas somente o CRCEA-SE não cumpriu a meta de 2 minutos. Vale ressaltar que a relação de demanda e capacidade de pátio impacta diretamente este indicador, ou seja, quanto maior a demanda por ocupação dos</w:t>
      </w:r>
      <w:r>
        <w:t xml:space="preserve"> </w:t>
      </w:r>
      <w:r>
        <w:rPr>
          <w:i/>
          <w:iCs/>
        </w:rPr>
        <w:t xml:space="preserve">gates</w:t>
      </w:r>
      <w:r>
        <w:t xml:space="preserve"> </w:t>
      </w:r>
      <w:r>
        <w:t xml:space="preserve">de estacionamento, maior a probabilidade de haver espera para alocação das aeronaves chegando.</w:t>
      </w:r>
    </w:p>
    <w:tbl>
      <w:tblPr>
        <w:tblStyle w:val="Table"/>
        <w:tblW w:type="pct" w:w="5000"/>
        <w:tblLayout w:type="fixed"/>
        <w:tblLook w:firstRow="0" w:lastRow="0" w:firstColumn="0" w:lastColumn="0" w:noHBand="0" w:noVBand="0" w:val="0000"/>
      </w:tblPr>
      <w:tblGrid>
        <w:gridCol w:w="7920"/>
      </w:tblGrid>
      <w:tr>
        <w:tc>
          <w:tcPr/>
          <w:bookmarkStart w:id="262" w:name="tbl-kpi13_acima_meta"/>
          <w:p>
            <w:pPr>
              <w:jc w:val="center"/>
            </w:pPr>
            <w:pPr>
              <w:jc w:val="left"/>
              <w:spacing w:before="200"/>
              <w:pStyle w:val="ImageCaption"/>
            </w:pPr>
            <w:r>
              <w:t xml:space="preserve">Tabela 3.6: Tabela aeroportos com adicional de taxi-in &gt; 2.0</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center"/>
                    <w:jc w:val="center"/>
                  </w:pPr>
                  <w:r>
                    <w:t xml:space="preserve">INDICATIVO</w:t>
                  </w:r>
                </w:p>
              </w:tc>
              <w:tc>
                <w:tcPr/>
                <w:p>
                  <w:pPr>
                    <w:pStyle w:val="Compact"/>
                    <w:jc w:val="center"/>
                    <w:jc w:val="center"/>
                  </w:pPr>
                  <w:r>
                    <w:t xml:space="preserve">AEROPORTO</w:t>
                  </w:r>
                </w:p>
              </w:tc>
              <w:tc>
                <w:tcPr/>
                <w:p>
                  <w:pPr>
                    <w:pStyle w:val="Compact"/>
                    <w:jc w:val="center"/>
                    <w:jc w:val="center"/>
                  </w:pPr>
                  <w:r>
                    <w:t xml:space="preserve">ADICIONAL</w:t>
                  </w:r>
                </w:p>
              </w:tc>
            </w:tr>
            <w:tr>
              <w:tc>
                <w:tcPr/>
                <w:p>
                  <w:pPr>
                    <w:pStyle w:val="Compact"/>
                    <w:jc w:val="center"/>
                    <w:jc w:val="center"/>
                  </w:pPr>
                  <w:r>
                    <w:t xml:space="preserve">SBBE</w:t>
                  </w:r>
                </w:p>
              </w:tc>
              <w:tc>
                <w:tcPr/>
                <w:p>
                  <w:pPr>
                    <w:pStyle w:val="Compact"/>
                    <w:jc w:val="center"/>
                    <w:jc w:val="center"/>
                  </w:pPr>
                  <w:r>
                    <w:t xml:space="preserve">Belém</w:t>
                  </w:r>
                </w:p>
              </w:tc>
              <w:tc>
                <w:tcPr/>
                <w:p>
                  <w:pPr>
                    <w:pStyle w:val="Compact"/>
                    <w:jc w:val="center"/>
                    <w:jc w:val="center"/>
                  </w:pPr>
                  <w:r>
                    <w:t xml:space="preserve">2.01</w:t>
                  </w:r>
                </w:p>
              </w:tc>
            </w:tr>
            <w:tr>
              <w:tc>
                <w:tcPr/>
                <w:p>
                  <w:pPr>
                    <w:pStyle w:val="Compact"/>
                    <w:jc w:val="center"/>
                    <w:jc w:val="center"/>
                  </w:pPr>
                  <w:r>
                    <w:t xml:space="preserve">SBJR</w:t>
                  </w:r>
                </w:p>
              </w:tc>
              <w:tc>
                <w:tcPr/>
                <w:p>
                  <w:pPr>
                    <w:pStyle w:val="Compact"/>
                    <w:jc w:val="center"/>
                    <w:jc w:val="center"/>
                  </w:pPr>
                  <w:r>
                    <w:t xml:space="preserve">Rio de Janeiro (Jacarepaguá)</w:t>
                  </w:r>
                </w:p>
              </w:tc>
              <w:tc>
                <w:tcPr/>
                <w:p>
                  <w:pPr>
                    <w:pStyle w:val="Compact"/>
                    <w:jc w:val="center"/>
                    <w:jc w:val="center"/>
                  </w:pPr>
                  <w:r>
                    <w:t xml:space="preserve">2.53</w:t>
                  </w:r>
                </w:p>
              </w:tc>
            </w:tr>
            <w:tr>
              <w:tc>
                <w:tcPr/>
                <w:p>
                  <w:pPr>
                    <w:pStyle w:val="Compact"/>
                    <w:jc w:val="center"/>
                    <w:jc w:val="center"/>
                  </w:pPr>
                  <w:r>
                    <w:t xml:space="preserve">SBSP</w:t>
                  </w:r>
                </w:p>
              </w:tc>
              <w:tc>
                <w:tcPr/>
                <w:p>
                  <w:pPr>
                    <w:pStyle w:val="Compact"/>
                    <w:jc w:val="center"/>
                    <w:jc w:val="center"/>
                  </w:pPr>
                  <w:r>
                    <w:t xml:space="preserve">São Paulo (Congonhas)</w:t>
                  </w:r>
                </w:p>
              </w:tc>
              <w:tc>
                <w:tcPr/>
                <w:p>
                  <w:pPr>
                    <w:pStyle w:val="Compact"/>
                    <w:jc w:val="center"/>
                    <w:jc w:val="center"/>
                  </w:pPr>
                  <w:r>
                    <w:t xml:space="preserve">2.98</w:t>
                  </w:r>
                </w:p>
              </w:tc>
            </w:tr>
            <w:tr>
              <w:tc>
                <w:tcPr/>
                <w:p>
                  <w:pPr>
                    <w:pStyle w:val="Compact"/>
                    <w:jc w:val="center"/>
                    <w:jc w:val="center"/>
                  </w:pPr>
                  <w:r>
                    <w:t xml:space="preserve">SBGR</w:t>
                  </w:r>
                </w:p>
              </w:tc>
              <w:tc>
                <w:tcPr/>
                <w:p>
                  <w:pPr>
                    <w:pStyle w:val="Compact"/>
                    <w:jc w:val="center"/>
                    <w:jc w:val="center"/>
                  </w:pPr>
                  <w:r>
                    <w:t xml:space="preserve">São Paulo (Guarulhos)</w:t>
                  </w:r>
                </w:p>
              </w:tc>
              <w:tc>
                <w:tcPr/>
                <w:p>
                  <w:pPr>
                    <w:pStyle w:val="Compact"/>
                    <w:jc w:val="center"/>
                    <w:jc w:val="center"/>
                  </w:pPr>
                  <w:r>
                    <w:t xml:space="preserve">3.37</w:t>
                  </w:r>
                </w:p>
              </w:tc>
            </w:tr>
          </w:tbl>
          <w:bookmarkEnd w:id="262"/>
          <w:p/>
        </w:tc>
      </w:tr>
    </w:tbl>
    <w:bookmarkEnd w:id="263"/>
    <w:bookmarkStart w:id="285" w:name="kpi-08-tempo-adicional-em-tma"/>
    <w:p>
      <w:pPr>
        <w:pStyle w:val="Ttulo3"/>
      </w:pPr>
      <w:r>
        <w:t xml:space="preserve">3.2.3 KPI 08 – TEMPO ADICIONAL EM TMA</w:t>
      </w:r>
    </w:p>
    <w:p>
      <w:pPr>
        <w:pStyle w:val="FirstParagraph"/>
      </w:pPr>
      <w:r>
        <w:t xml:space="preserve">O indicador de Tempo Adicional em Área Terminal é calculado pela diferença entre o tempo médio de trânsito de chegada na TMA e o tempo desimpedido, que corresponde ao período necessário para que uma aeronave alcance seu destino sem a necessidade de intervenções táticas do controle de tráfego aéreo para sequenciamento e garantia da separação entre os voos. Em outras palavras, esse tempo reflete a discrepância entre uma operação idealmente livre e desimpedida e a realidade operacional.</w:t>
      </w:r>
    </w:p>
    <w:p>
      <w:pPr>
        <w:pStyle w:val="Corpodetexto"/>
      </w:pPr>
      <w:r>
        <w:t xml:space="preserve">Esse indicador está diretamente relacionado ao volume de tráfego aéreo e à capacidade, tanto do órgão de controle, quanto do aeroporto de destino, para gerenciar essa demanda em um determinado período. A necessidade de medidas ATFM para sequenciamento de tráfego, e consequentemente o aumento do tempo de voo, cresce à medida que a demanda se intensifica, especialmente em aeroportos congestionados.</w:t>
      </w:r>
    </w:p>
    <w:p>
      <w:pPr>
        <w:pStyle w:val="Corpodetexto"/>
      </w:pPr>
      <w:r>
        <w:t xml:space="preserve">Além disso, o Tempo Adicional em Área Terminal fornece insights sobre fatores que impactam a otimização dos voos, como a eficiência da estrutura da TMA, a gestão do tráfego aéreo nos setores responsáveis pelo sequenciamento das chegadas e o uso de ferramentas e técnicas do ATC para o gerenciamento do tráfego. A análise desse indicador também leva em conta as condições operacionais vigentes. Quanto menor o tempo adicional na TMA, maior a aderência entre o planejamento e a execução operacional.</w:t>
      </w:r>
    </w:p>
    <w:p>
      <w:pPr>
        <w:pStyle w:val="Corpodetexto"/>
      </w:pPr>
      <w:r>
        <w:t xml:space="preserve">A área de análise, denominada Arrival Sequencing and Metering Area (ASMA), corresponde a um cilindro com raio de 40 NM (C40) ou 100 NM (C100) ao redor do aeroporto de referência. De forma geral, o C40 abrange a TMA, enquanto o C100 contempla a complexidade da aproximação na entrada da TMA, incluindo pontos de espera em voo situados nos limites da FIR adjacente.</w:t>
      </w:r>
    </w:p>
    <w:p>
      <w:pPr>
        <w:pStyle w:val="Corpodetexto"/>
      </w:pPr>
      <w:r>
        <w:t xml:space="preserve">O PCA 100-3 estabelece uma meta de 3,5 minutos para este KPI na variante C100 nos aeroportos de Guarulhos (SBGR), Congonhas (SBSP) e Campinas (SBKP). Para os demais aeroportos, o valor de referência é 2,5 minutos. Dos 40 aeroportos monitorados, a análise do KPI 08 — tanto na modalidade C40 quanto na C100 — foi realizada em apenas 36 aeroportos, devido à falta de dados em quatro deles. A</w:t>
      </w:r>
      <w:r>
        <w:t xml:space="preserve"> </w:t>
      </w:r>
      <w:hyperlink w:anchor="fig-kpi-08-c100">
        <w:r>
          <w:rPr>
            <w:rStyle w:val="Hyperlink"/>
          </w:rPr>
          <w:t xml:space="preserve">Figura 3.14</w:t>
        </w:r>
      </w:hyperlink>
      <w:r>
        <w:t xml:space="preserve"> </w:t>
      </w:r>
      <w:r>
        <w:t xml:space="preserve">apresenta os resultados do KPI 08 na variante C100 para esses aeródromos.</w:t>
      </w:r>
    </w:p>
    <w:p>
      <w:pPr>
        <w:pStyle w:val="Corpodetexto"/>
      </w:pPr>
      <w:r>
        <w:drawing>
          <wp:inline>
            <wp:extent cx="5977890" cy="2590419"/>
            <wp:effectExtent b="0" l="0" r="0" t="0"/>
            <wp:docPr descr="" title="" id="265" name="Picture"/>
            <a:graphic>
              <a:graphicData uri="http://schemas.openxmlformats.org/drawingml/2006/picture">
                <pic:pic>
                  <pic:nvPicPr>
                    <pic:cNvPr descr="03-Indicadores_files/figure-docx/unnamed-chunk-5-1.png" id="266" name="Picture"/>
                    <pic:cNvPicPr>
                      <a:picLocks noChangeArrowheads="1" noChangeAspect="1"/>
                    </pic:cNvPicPr>
                  </pic:nvPicPr>
                  <pic:blipFill>
                    <a:blip r:embed="rId264"/>
                    <a:stretch>
                      <a:fillRect/>
                    </a:stretch>
                  </pic:blipFill>
                  <pic:spPr bwMode="auto">
                    <a:xfrm>
                      <a:off x="0" y="0"/>
                      <a:ext cx="5977890" cy="2590419"/>
                    </a:xfrm>
                    <a:prstGeom prst="rect">
                      <a:avLst/>
                    </a:prstGeom>
                    <a:noFill/>
                    <a:ln w="9525">
                      <a:noFill/>
                      <a:headEnd/>
                      <a:tailEnd/>
                    </a:ln>
                  </pic:spPr>
                </pic:pic>
              </a:graphicData>
            </a:graphic>
          </wp:inline>
        </w:drawing>
      </w:r>
    </w:p>
    <w:tbl>
      <w:tblPr>
        <w:tblStyle w:val="Table"/>
        <w:tblW w:type="pct" w:w="5000"/>
        <w:tblLayout w:type="fixed"/>
        <w:tblLook w:firstRow="0" w:lastRow="0" w:firstColumn="0" w:lastColumn="0" w:noHBand="0" w:noVBand="0" w:val="0000"/>
      </w:tblPr>
      <w:tblGrid>
        <w:gridCol w:w="7920"/>
      </w:tblGrid>
      <w:tr>
        <w:tc>
          <w:tcPr/>
          <w:bookmarkStart w:id="270" w:name="fig-kpi-08-c100"/>
          <w:p>
            <w:pPr>
              <w:pStyle w:val="Compact"/>
              <w:jc w:val="center"/>
            </w:pPr>
            <w:r>
              <w:drawing>
                <wp:inline>
                  <wp:extent cx="5977890" cy="2590419"/>
                  <wp:effectExtent b="0" l="0" r="0" t="0"/>
                  <wp:docPr descr="" title="" id="268" name="Picture"/>
                  <a:graphic>
                    <a:graphicData uri="http://schemas.openxmlformats.org/drawingml/2006/picture">
                      <pic:pic>
                        <pic:nvPicPr>
                          <pic:cNvPr descr="03-Indicadores_files/figure-docx/fig-kpi-08-c100-1.png" id="269" name="Picture"/>
                          <pic:cNvPicPr>
                            <a:picLocks noChangeArrowheads="1" noChangeAspect="1"/>
                          </pic:cNvPicPr>
                        </pic:nvPicPr>
                        <pic:blipFill>
                          <a:blip r:embed="rId267"/>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3.14: KPI 08 - Tempo Adicional Área Terminal para C100</w:t>
            </w:r>
          </w:p>
          <w:bookmarkEnd w:id="270"/>
        </w:tc>
      </w:tr>
    </w:tbl>
    <w:p>
      <w:pPr>
        <w:pStyle w:val="Corpodetexto"/>
      </w:pPr>
      <w:r>
        <w:t xml:space="preserve">Dos aeroportos monitorados que possuem a meta de 2,5 minutos na variante C100 do KPI 08, o Aeroporto Regional de Maringá (SBMG), Aeroporto de Londrina (SBLO), Aeroporto de Presidente Prudente (SBDN) e o Aeroporto de Ribeirão Preto (SBRP), Maringá (SBMG), registraram tempo acima da meta. Já entre os aeroportos que possuem a meta de 3,5 minutos na variante C100 do KPI 08, apenas o Aeroporto de Guarulhos (SBGR) apresentou tempo acima dela.</w:t>
      </w:r>
    </w:p>
    <w:p>
      <w:pPr>
        <w:pStyle w:val="Corpodetexto"/>
      </w:pPr>
      <w:r>
        <w:t xml:space="preserve">No caso específico do Aeroporto de Campinas (SBKP), os resultados da variante C100 do KPI 08 indicam uma redução significativa e consistente do tempo adicional em área terminal a partir de agosto de 2025, associada às ações implementadas no redesenho da TMA VCP. As revisões de procedimentos e o encurtamento de trajetórias contribuíram para maior fluidez do tráfego e menor necessidade de intervenções táticas para o sequenciamento das chegadas.</w:t>
      </w:r>
    </w:p>
    <w:p>
      <w:pPr>
        <w:pStyle w:val="Corpodetexto"/>
      </w:pPr>
      <w:r>
        <w:t xml:space="preserve">Os menores valores do indicador foram registrados nos meses subsequentes à implementação das novas configurações do espaço aéreo, com destaque para os dois últimos meses de 2025, quando o tempo adicional atingiu 1,9 minuto, representando os melhores resultados dos últimos anos.</w:t>
      </w:r>
    </w:p>
    <w:p>
      <w:pPr>
        <w:pStyle w:val="Corpodetexto"/>
      </w:pPr>
      <w:r>
        <w:drawing>
          <wp:inline>
            <wp:extent cx="6642100" cy="2878243"/>
            <wp:effectExtent b="0" l="0" r="0" t="0"/>
            <wp:docPr descr="" title="" id="272" name="Picture"/>
            <a:graphic>
              <a:graphicData uri="http://schemas.openxmlformats.org/drawingml/2006/picture">
                <pic:pic>
                  <pic:nvPicPr>
                    <pic:cNvPr descr="03-Indicadores_files/figure-docx/unnamed-chunk-6-1.png" id="273" name="Picture"/>
                    <pic:cNvPicPr>
                      <a:picLocks noChangeArrowheads="1" noChangeAspect="1"/>
                    </pic:cNvPicPr>
                  </pic:nvPicPr>
                  <pic:blipFill>
                    <a:blip r:embed="rId271"/>
                    <a:stretch>
                      <a:fillRect/>
                    </a:stretch>
                  </pic:blipFill>
                  <pic:spPr bwMode="auto">
                    <a:xfrm>
                      <a:off x="0" y="0"/>
                      <a:ext cx="6642100" cy="2878243"/>
                    </a:xfrm>
                    <a:prstGeom prst="rect">
                      <a:avLst/>
                    </a:prstGeom>
                    <a:noFill/>
                    <a:ln w="9525">
                      <a:noFill/>
                      <a:headEnd/>
                      <a:tailEnd/>
                    </a:ln>
                  </pic:spPr>
                </pic:pic>
              </a:graphicData>
            </a:graphic>
          </wp:inline>
        </w:drawing>
      </w:r>
    </w:p>
    <w:tbl>
      <w:tblPr>
        <w:tblStyle w:val="Table"/>
        <w:tblW w:type="pct" w:w="5000"/>
        <w:tblLayout w:type="fixed"/>
        <w:tblLook w:firstRow="0" w:lastRow="0" w:firstColumn="0" w:lastColumn="0" w:noHBand="0" w:noVBand="0" w:val="0000"/>
      </w:tblPr>
      <w:tblGrid>
        <w:gridCol w:w="7920"/>
      </w:tblGrid>
      <w:tr>
        <w:tc>
          <w:tcPr/>
          <w:bookmarkStart w:id="277" w:name="fig-kpi-08-c40"/>
          <w:p>
            <w:pPr>
              <w:pStyle w:val="Compact"/>
              <w:jc w:val="center"/>
            </w:pPr>
            <w:r>
              <w:drawing>
                <wp:inline>
                  <wp:extent cx="6642100" cy="2878243"/>
                  <wp:effectExtent b="0" l="0" r="0" t="0"/>
                  <wp:docPr descr="" title="" id="275" name="Picture"/>
                  <a:graphic>
                    <a:graphicData uri="http://schemas.openxmlformats.org/drawingml/2006/picture">
                      <pic:pic>
                        <pic:nvPicPr>
                          <pic:cNvPr descr="03-Indicadores_files/figure-docx/fig-kpi-08-c40-1.png" id="276" name="Picture"/>
                          <pic:cNvPicPr>
                            <a:picLocks noChangeArrowheads="1" noChangeAspect="1"/>
                          </pic:cNvPicPr>
                        </pic:nvPicPr>
                        <pic:blipFill>
                          <a:blip r:embed="rId274"/>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3.15: KPI 08 - Tempo Adicional Área Terminal para C40</w:t>
            </w:r>
          </w:p>
          <w:bookmarkEnd w:id="277"/>
        </w:tc>
      </w:tr>
    </w:tbl>
    <w:p>
      <w:pPr>
        <w:pStyle w:val="Corpodetexto"/>
      </w:pPr>
      <w:r>
        <w:t xml:space="preserve">Sob a perspectiva da variante C40, conforme ilustrado nas</w:t>
      </w:r>
      <w:r>
        <w:t xml:space="preserve"> </w:t>
      </w:r>
      <w:hyperlink w:anchor="fig-kpi-08-c40">
        <w:r>
          <w:rPr>
            <w:rStyle w:val="Hyperlink"/>
          </w:rPr>
          <w:t xml:space="preserve">Figura 3.15</w:t>
        </w:r>
      </w:hyperlink>
      <w:r>
        <w:t xml:space="preserve">, os principais aeródromos da TMA-SP mantiveram uma considerável redução no indicador de tempo adicional de terminal, indicando um aumento na eficiência operacional, mesmo diante do crescimento no volume de tráfego. Ao analisar os aeroportos monitorados, verifica-se que, apesar do aumento no número de movimentos, a média do tempo adicional em área terminal manteve-se operacionalmente estável em comparação ao ano de 2024. Esses dados sugerem um equilíbrio na gestão do espaço aéreo e na coordenação entre os órgãos ATS. Cabe ressaltar que a variante C40 é exclusivamente monitorada, sem metas previamente estabelecidas.</w:t>
      </w:r>
    </w:p>
    <w:p>
      <w:pPr>
        <w:pStyle w:val="CaptionedFigure"/>
      </w:pPr>
      <w:r>
        <w:drawing>
          <wp:inline>
            <wp:extent cx="5977890" cy="2590419"/>
            <wp:effectExtent b="0" l="0" r="0" t="0"/>
            <wp:docPr descr="KPI 08 - Tempo Adicional Área Terminal por Regional - C-100" title="" id="279" name="Picture"/>
            <a:graphic>
              <a:graphicData uri="http://schemas.openxmlformats.org/drawingml/2006/picture">
                <pic:pic>
                  <pic:nvPicPr>
                    <pic:cNvPr descr="03-Indicadores_files/figure-docx/unnamed-chunk-7-1.png" id="280" name="Picture"/>
                    <pic:cNvPicPr>
                      <a:picLocks noChangeArrowheads="1" noChangeAspect="1"/>
                    </pic:cNvPicPr>
                  </pic:nvPicPr>
                  <pic:blipFill>
                    <a:blip r:embed="rId278"/>
                    <a:stretch>
                      <a:fillRect/>
                    </a:stretch>
                  </pic:blipFill>
                  <pic:spPr bwMode="auto">
                    <a:xfrm>
                      <a:off x="0" y="0"/>
                      <a:ext cx="5977890" cy="2590419"/>
                    </a:xfrm>
                    <a:prstGeom prst="rect">
                      <a:avLst/>
                    </a:prstGeom>
                    <a:noFill/>
                    <a:ln w="9525">
                      <a:noFill/>
                      <a:headEnd/>
                      <a:tailEnd/>
                    </a:ln>
                  </pic:spPr>
                </pic:pic>
              </a:graphicData>
            </a:graphic>
          </wp:inline>
        </w:drawing>
      </w:r>
    </w:p>
    <w:p>
      <w:pPr>
        <w:pStyle w:val="ImageCaption"/>
      </w:pPr>
      <w:r>
        <w:t xml:space="preserve">KPI 08 - Tempo Adicional Área Terminal por Regional - C-100</w:t>
      </w:r>
    </w:p>
    <w:tbl>
      <w:tblPr>
        <w:tblStyle w:val="Table"/>
        <w:tblW w:type="pct" w:w="5000"/>
        <w:tblLayout w:type="fixed"/>
        <w:tblLook w:firstRow="0" w:lastRow="0" w:firstColumn="0" w:lastColumn="0" w:noHBand="0" w:noVBand="0" w:val="0000"/>
      </w:tblPr>
      <w:tblGrid>
        <w:gridCol w:w="7920"/>
      </w:tblGrid>
      <w:tr>
        <w:tc>
          <w:tcPr/>
          <w:bookmarkStart w:id="284" w:name="fig-kpi-08-c40-regional"/>
          <w:p>
            <w:pPr>
              <w:pStyle w:val="Compact"/>
              <w:jc w:val="center"/>
            </w:pPr>
            <w:r>
              <w:drawing>
                <wp:inline>
                  <wp:extent cx="5977890" cy="2590419"/>
                  <wp:effectExtent b="0" l="0" r="0" t="0"/>
                  <wp:docPr descr="" title="" id="282" name="Picture"/>
                  <a:graphic>
                    <a:graphicData uri="http://schemas.openxmlformats.org/drawingml/2006/picture">
                      <pic:pic>
                        <pic:nvPicPr>
                          <pic:cNvPr descr="03-Indicadores_files/figure-docx/fig-kpi-08-c40-regional-1.png" id="283" name="Picture"/>
                          <pic:cNvPicPr>
                            <a:picLocks noChangeArrowheads="1" noChangeAspect="1"/>
                          </pic:cNvPicPr>
                        </pic:nvPicPr>
                        <pic:blipFill>
                          <a:blip r:embed="rId281"/>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3.16: KPI 08 - Tempo Adicional Área Terminal por Regional - C-40</w:t>
            </w:r>
          </w:p>
          <w:bookmarkEnd w:id="284"/>
        </w:tc>
      </w:tr>
    </w:tbl>
    <w:p>
      <w:pPr>
        <w:pStyle w:val="Corpodetexto"/>
      </w:pPr>
      <w:r>
        <w:t xml:space="preserve">O mesmo perfil de redução se mantém quando se analisa o KPI pela ótica de Regionais,</w:t>
      </w:r>
      <w:r>
        <w:t xml:space="preserve"> </w:t>
      </w:r>
      <w:hyperlink w:anchor="fig-kpi-08-c40-regional">
        <w:r>
          <w:rPr>
            <w:rStyle w:val="Hyperlink"/>
          </w:rPr>
          <w:t xml:space="preserve">Figura 3.16</w:t>
        </w:r>
      </w:hyperlink>
      <w:r>
        <w:t xml:space="preserve">. O CINDACTA II, o CINDACTA III e o CINDACTA IV apresentaram o menor tempo adicional em ambas as variantes, enquanto o CRCEA-SE, o maior, evidenciando a relação direta já verificada entre as variações do volume de demanda e de tempo adicional em TMA para aeroportos de maior demanda.</w:t>
      </w:r>
    </w:p>
    <w:p>
      <w:pPr>
        <w:pStyle w:val="Corpodetexto"/>
      </w:pPr>
      <w:r>
        <w:t xml:space="preserve">Em 2025, a maioria dos aeroportos monitorados cumpriu a meta estabelecida para o tempo adicional em TMA. A análise nas variantes C100 e C40 mostrou, respectivamente, um bom desempenho na maioria dos aeródromos, com destaque para a redução do tempo adicional em C40, mesmo com o aumento do tráfego. Esses resultados indicam melhorias na gestão do tráfego aéreo.</w:t>
      </w:r>
    </w:p>
    <w:bookmarkEnd w:id="285"/>
    <w:bookmarkStart w:id="293" w:name="kpi-17---nivelamento-em-subida"/>
    <w:p>
      <w:pPr>
        <w:pStyle w:val="Ttulo3"/>
      </w:pPr>
      <w:r>
        <w:t xml:space="preserve">3.2.4 KPI 17 - NIVELAMENTO EM SUBIDA</w:t>
      </w:r>
    </w:p>
    <w:p>
      <w:pPr>
        <w:pStyle w:val="FirstParagraph"/>
      </w:pPr>
      <w:r>
        <w:t xml:space="preserve">O KPI17 avalia a eficiência vertical das trajetórias de voo na fase de subida por meio da identificação de segmentos nivelados, uma vez que eles tendem a gerar maior consumo de combustível e ruído, especialmente em baixa altitude. Verifica a extensão dos nivelamentos durante a subida em termos de distância ou tempo de voo dentro de uma distância de 200 NM do aeroporto de origem.</w:t>
      </w:r>
    </w:p>
    <w:p>
      <w:pPr>
        <w:pStyle w:val="Corpodetexto"/>
      </w:pPr>
      <w:r>
        <w:t xml:space="preserve">Os nivelamentos são então identificados como os segmentos da trajetória que apresentam razão de subida inferior a 300 ft/min e que estão fora de uma caixa de exclusão definida pela altitude máxima observada no raio de 200 NM e 90% dessa altitude. Esta caixa de exclusão visa desconsiderar no cálculo do KPI segmentos nivelados que acontecem bem próximo da altitude de cruzeiro, uma vez que eles podem estar mais associados à gestão de performance da aeronave pelo operador do que a ineficiências operacionais.</w:t>
      </w:r>
    </w:p>
    <w:p>
      <w:pPr>
        <w:pStyle w:val="Corpodetexto"/>
      </w:pPr>
      <w:r>
        <w:t xml:space="preserve">Entre os fatores que afetam a eficiência vertical durante a subida, pode-se destacar a estrutura do espaço aéreo e os procedimentos operacionais vigentes (por exemplo,</w:t>
      </w:r>
      <w:r>
        <w:t xml:space="preserve"> </w:t>
      </w:r>
      <w:r>
        <w:rPr>
          <w:i/>
          <w:iCs/>
        </w:rPr>
        <w:t xml:space="preserve">Continuous Climb Operations - CCO</w:t>
      </w:r>
      <w:r>
        <w:t xml:space="preserve">), as ferramentas e técnicas usadas pelo ATC para a gestão tática de separações, as condições meteorológicas e as características de performance da aeronave.</w:t>
      </w:r>
    </w:p>
    <w:p>
      <w:pPr>
        <w:pStyle w:val="Corpodetexto"/>
      </w:pPr>
      <w:r>
        <w:drawing>
          <wp:inline>
            <wp:extent cx="5977890" cy="2590419"/>
            <wp:effectExtent b="0" l="0" r="0" t="0"/>
            <wp:docPr descr="" title="" id="287" name="Picture"/>
            <a:graphic>
              <a:graphicData uri="http://schemas.openxmlformats.org/drawingml/2006/picture">
                <pic:pic>
                  <pic:nvPicPr>
                    <pic:cNvPr descr="03-Indicadores_files/figure-docx/unnamed-chunk-8-1.png" id="288" name="Picture"/>
                    <pic:cNvPicPr>
                      <a:picLocks noChangeArrowheads="1" noChangeAspect="1"/>
                    </pic:cNvPicPr>
                  </pic:nvPicPr>
                  <pic:blipFill>
                    <a:blip r:embed="rId286"/>
                    <a:stretch>
                      <a:fillRect/>
                    </a:stretch>
                  </pic:blipFill>
                  <pic:spPr bwMode="auto">
                    <a:xfrm>
                      <a:off x="0" y="0"/>
                      <a:ext cx="5977890" cy="2590419"/>
                    </a:xfrm>
                    <a:prstGeom prst="rect">
                      <a:avLst/>
                    </a:prstGeom>
                    <a:noFill/>
                    <a:ln w="9525">
                      <a:noFill/>
                      <a:headEnd/>
                      <a:tailEnd/>
                    </a:ln>
                  </pic:spPr>
                </pic:pic>
              </a:graphicData>
            </a:graphic>
          </wp:inline>
        </w:drawing>
      </w:r>
    </w:p>
    <w:tbl>
      <w:tblPr>
        <w:tblStyle w:val="Table"/>
        <w:tblW w:type="pct" w:w="5000"/>
        <w:tblLayout w:type="fixed"/>
        <w:tblLook w:firstRow="0" w:lastRow="0" w:firstColumn="0" w:lastColumn="0" w:noHBand="0" w:noVBand="0" w:val="0000"/>
      </w:tblPr>
      <w:tblGrid>
        <w:gridCol w:w="7920"/>
      </w:tblGrid>
      <w:tr>
        <w:tc>
          <w:tcPr/>
          <w:bookmarkStart w:id="292" w:name="fig-kpi-17"/>
          <w:p>
            <w:pPr>
              <w:pStyle w:val="Compact"/>
              <w:jc w:val="center"/>
            </w:pPr>
            <w:r>
              <w:drawing>
                <wp:inline>
                  <wp:extent cx="5977890" cy="2590419"/>
                  <wp:effectExtent b="0" l="0" r="0" t="0"/>
                  <wp:docPr descr="" title="" id="290" name="Picture"/>
                  <a:graphic>
                    <a:graphicData uri="http://schemas.openxmlformats.org/drawingml/2006/picture">
                      <pic:pic>
                        <pic:nvPicPr>
                          <pic:cNvPr descr="03-Indicadores_files/figure-docx/fig-kpi-17-1.png" id="291" name="Picture"/>
                          <pic:cNvPicPr>
                            <a:picLocks noChangeArrowheads="1" noChangeAspect="1"/>
                          </pic:cNvPicPr>
                        </pic:nvPicPr>
                        <pic:blipFill>
                          <a:blip r:embed="rId289"/>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3.17: KPI 17 - Nivelamento em Subida</w:t>
            </w:r>
          </w:p>
          <w:bookmarkEnd w:id="292"/>
        </w:tc>
      </w:tr>
    </w:tbl>
    <w:p>
      <w:pPr>
        <w:pStyle w:val="Corpodetexto"/>
      </w:pPr>
      <w:r>
        <w:t xml:space="preserve">Os resultados precisam de mais validação e mais tempo para pesquisa, com o objetivo de explicar algumas variações encontradas neles. Sobre algumas mudanças importantes, a explicação está na análise do KPI 19.</w:t>
      </w:r>
    </w:p>
    <w:p>
      <w:pPr>
        <w:pStyle w:val="Corpodetexto"/>
      </w:pPr>
      <w:r>
        <w:t xml:space="preserve">A</w:t>
      </w:r>
      <w:r>
        <w:t xml:space="preserve"> </w:t>
      </w:r>
      <w:hyperlink w:anchor="fig-kpi-17">
        <w:r>
          <w:rPr>
            <w:rStyle w:val="Hyperlink"/>
          </w:rPr>
          <w:t xml:space="preserve">Figura 3.17</w:t>
        </w:r>
      </w:hyperlink>
      <w:r>
        <w:t xml:space="preserve">, apresenta a média do KPI 17 (em tempo de voo nivelado) para os top-40 aeroportos mais movimentados em 2025. Observa-se as eficiências verticais durante a subida para os aeroportos analisados, com algumas diferenças entre 2024 e 2025, das quais destacam-se positivamente os índices abaixo de 2 min, para o Santos Dumont (SBRJ), Navegantes (SBNF), Curitiba (SBCT), Vitória (SBVT), São Paulo (SBSP), Florianópolis (SBFL) e Porto Seguro (SBPS). Em contrapartida destacam-se negativamente os aeroportos de Boa Vista (SBBV), Ribeirão Preto (SBRP), Rio Branco (SBRB) e Uberlândia (SBUL), com índices entre 5 e 6 minutos.</w:t>
      </w:r>
    </w:p>
    <w:bookmarkEnd w:id="293"/>
    <w:bookmarkStart w:id="301" w:name="kpi-19---nivelamento-em-descida"/>
    <w:p>
      <w:pPr>
        <w:pStyle w:val="Ttulo3"/>
      </w:pPr>
      <w:r>
        <w:t xml:space="preserve">3.2.5 KPI 19 - NIVELAMENTO EM DESCIDA</w:t>
      </w:r>
    </w:p>
    <w:p>
      <w:pPr>
        <w:pStyle w:val="FirstParagraph"/>
      </w:pPr>
      <w:r>
        <w:t xml:space="preserve">O KPI 19 mede a eficiência da descida das aeronaves, identificando períodos em que o voo permanece nivelado antes do pouso. Esse nivelamento pode aumentar o consumo de combustível e gerar mais ruído, especialmente em baixas altitudes.</w:t>
      </w:r>
    </w:p>
    <w:p>
      <w:pPr>
        <w:pStyle w:val="Corpodetexto"/>
      </w:pPr>
      <w:r>
        <w:t xml:space="preserve">A análise considera o tempo ou a distância em que a aeronave voa nivelada dentro de um raio de 150 NM (milhas náuticas) do aeroporto de destino. Para identificar esses segmentos, verifica-se se a variação de altitude é menor que 200 pés e se a razão de descida é inferior a 300 pés por minuto.</w:t>
      </w:r>
    </w:p>
    <w:p>
      <w:pPr>
        <w:pStyle w:val="Corpodetexto"/>
      </w:pPr>
      <w:r>
        <w:t xml:space="preserve">Além disso, há uma zona de exclusão, que corresponde a um intervalo de altitude próximo ao ponto onde a aeronave inicia sua descida dentro desse raio de 150 NM. Esse ponto inicial é chamado de</w:t>
      </w:r>
      <w:r>
        <w:t xml:space="preserve"> </w:t>
      </w:r>
      <w:r>
        <w:rPr>
          <w:i/>
          <w:iCs/>
        </w:rPr>
        <w:t xml:space="preserve">Top of Descent</w:t>
      </w:r>
      <w:r>
        <w:t xml:space="preserve"> </w:t>
      </w:r>
      <w:r>
        <w:t xml:space="preserve">– TOD, e a altitude dele é referida como TOD-A150. A zona de exclusão corresponde a um trecho entre 90% da altitude do TOD-A150 e a própria altitude desse ponto. Se a aeronave permanecer nivelada por mais de 5 minutos dentro dessa zona, esse trecho é desconsiderado na análise.</w:t>
      </w:r>
    </w:p>
    <w:p>
      <w:pPr>
        <w:pStyle w:val="Corpodetexto"/>
      </w:pPr>
      <w:r>
        <w:t xml:space="preserve">Diversos fatores influenciam o nivelamento na descida, como a estrutura do espaço aéreo, os procedimentos operacionais utilizados (como a Descida Contínua – CDO), as ferramentas do gerenciamento de tráfego aéreo para organizar as chegadas, as condições meteorológicas e as características da aeronave. O ideal é que a descida ocorra de forma contínua, do</w:t>
      </w:r>
      <w:r>
        <w:t xml:space="preserve"> </w:t>
      </w:r>
      <w:r>
        <w:rPr>
          <w:i/>
          <w:iCs/>
        </w:rPr>
        <w:t xml:space="preserve">Top of Descent</w:t>
      </w:r>
      <w:r>
        <w:t xml:space="preserve"> </w:t>
      </w:r>
      <w:r>
        <w:t xml:space="preserve">(TOD) até o pouso, reduzindo o impacto ambiental e aumentando a eficiência do voo.</w:t>
      </w:r>
    </w:p>
    <w:p>
      <w:pPr>
        <w:pStyle w:val="Corpodetexto"/>
      </w:pPr>
      <w:r>
        <w:t xml:space="preserve">Os resultados precisam de mais validação e mais tempo para pesquisa, com o objetivo de explicar algumas variações encontradas neles.</w:t>
      </w:r>
    </w:p>
    <w:p>
      <w:pPr>
        <w:pStyle w:val="Corpodetexto"/>
      </w:pPr>
      <w:r>
        <w:t xml:space="preserve">Uma mudança importante é da base de dados: para os anos de 2024 e 2025, utilizamos a fonte de dados de síntese radar; para 2023, mantivemos os dados ADS-B (FLIGHT RADAR). Por isso, foi possível observar uma discrepância dos resultados entre esses anos.</w:t>
      </w:r>
    </w:p>
    <w:p>
      <w:pPr>
        <w:pStyle w:val="Corpodetexto"/>
      </w:pPr>
      <w:r>
        <w:t xml:space="preserve">Outra mudança relevante, o tratamento dos dados passou a ser totalmente realizado no laboratório de pesquisa do ICEA, incluindo filtro nos dados para identificar os voos da aviação comercial. O tratamento dos dados envolve o armazenamento, a transformação e a entrega de resultados, permitindo que os pesquisadores da Comissão de Performance possam analisar os resultados com maior detalhamento.</w:t>
      </w:r>
    </w:p>
    <w:p>
      <w:pPr>
        <w:pStyle w:val="Corpodetexto"/>
      </w:pPr>
      <w:r>
        <w:t xml:space="preserve">A</w:t>
      </w:r>
      <w:r>
        <w:t xml:space="preserve"> </w:t>
      </w:r>
      <w:hyperlink w:anchor="fig-kpi-19">
        <w:r>
          <w:rPr>
            <w:rStyle w:val="Hyperlink"/>
          </w:rPr>
          <w:t xml:space="preserve">Figura 3.18</w:t>
        </w:r>
      </w:hyperlink>
      <w:r>
        <w:t xml:space="preserve"> </w:t>
      </w:r>
      <w:r>
        <w:t xml:space="preserve">apresenta a média do KPI 19 (tempo de voo nivelado) para os 40 aeroportos analisados, nos anos de 2024 e 2025, evidenciando um cenário heterogêneo, com reduções e aumentos no tempo de nivelamento. Observa-se que a maioria dos aeroportos apresenta valores inferiores a 2 minutos. Destaca-se que o Aeroporto de Guarulhos (SBGR) passou a apresentar maior ineficiência vertical durante a descida em comparação a Congonhas (SBSP), que liderava no ano anterior mas que registrou, em 2025, uma redução de 0,8% no indicador.</w:t>
      </w:r>
    </w:p>
    <w:p>
      <w:pPr>
        <w:pStyle w:val="Corpodetexto"/>
      </w:pPr>
      <w:r>
        <w:drawing>
          <wp:inline>
            <wp:extent cx="5977890" cy="2590419"/>
            <wp:effectExtent b="0" l="0" r="0" t="0"/>
            <wp:docPr descr="" title="" id="295" name="Picture"/>
            <a:graphic>
              <a:graphicData uri="http://schemas.openxmlformats.org/drawingml/2006/picture">
                <pic:pic>
                  <pic:nvPicPr>
                    <pic:cNvPr descr="03-Indicadores_files/figure-docx/unnamed-chunk-9-1.png" id="296" name="Picture"/>
                    <pic:cNvPicPr>
                      <a:picLocks noChangeArrowheads="1" noChangeAspect="1"/>
                    </pic:cNvPicPr>
                  </pic:nvPicPr>
                  <pic:blipFill>
                    <a:blip r:embed="rId294"/>
                    <a:stretch>
                      <a:fillRect/>
                    </a:stretch>
                  </pic:blipFill>
                  <pic:spPr bwMode="auto">
                    <a:xfrm>
                      <a:off x="0" y="0"/>
                      <a:ext cx="5977890" cy="2590419"/>
                    </a:xfrm>
                    <a:prstGeom prst="rect">
                      <a:avLst/>
                    </a:prstGeom>
                    <a:noFill/>
                    <a:ln w="9525">
                      <a:noFill/>
                      <a:headEnd/>
                      <a:tailEnd/>
                    </a:ln>
                  </pic:spPr>
                </pic:pic>
              </a:graphicData>
            </a:graphic>
          </wp:inline>
        </w:drawing>
      </w:r>
    </w:p>
    <w:tbl>
      <w:tblPr>
        <w:tblStyle w:val="Table"/>
        <w:tblW w:type="pct" w:w="5000"/>
        <w:tblLayout w:type="fixed"/>
        <w:tblLook w:firstRow="0" w:lastRow="0" w:firstColumn="0" w:lastColumn="0" w:noHBand="0" w:noVBand="0" w:val="0000"/>
      </w:tblPr>
      <w:tblGrid>
        <w:gridCol w:w="7920"/>
      </w:tblGrid>
      <w:tr>
        <w:tc>
          <w:tcPr/>
          <w:bookmarkStart w:id="300" w:name="fig-kpi-19"/>
          <w:p>
            <w:pPr>
              <w:pStyle w:val="Compact"/>
              <w:jc w:val="center"/>
            </w:pPr>
            <w:r>
              <w:drawing>
                <wp:inline>
                  <wp:extent cx="5977890" cy="2590419"/>
                  <wp:effectExtent b="0" l="0" r="0" t="0"/>
                  <wp:docPr descr="" title="" id="298" name="Picture"/>
                  <a:graphic>
                    <a:graphicData uri="http://schemas.openxmlformats.org/drawingml/2006/picture">
                      <pic:pic>
                        <pic:nvPicPr>
                          <pic:cNvPr descr="03-Indicadores_files/figure-docx/fig-kpi-19-1.png" id="299" name="Picture"/>
                          <pic:cNvPicPr>
                            <a:picLocks noChangeArrowheads="1" noChangeAspect="1"/>
                          </pic:cNvPicPr>
                        </pic:nvPicPr>
                        <pic:blipFill>
                          <a:blip r:embed="rId297"/>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3.18: KPI 19 - Nivelamento em Descida</w:t>
            </w:r>
          </w:p>
          <w:bookmarkEnd w:id="300"/>
        </w:tc>
      </w:tr>
    </w:tbl>
    <w:p>
      <w:pPr>
        <w:pStyle w:val="Corpodetexto"/>
      </w:pPr>
      <w:r>
        <w:t xml:space="preserve">Os destaques positivos no CINDACTA I, foram Ribeirão Preto e Goiânia, no CINDACTA II, Presidente Prudente e Joinville, no CINDACTA III, Aracaju e João Pessoa, no CINDACTA IV, Porto Velho e Eduardo Gomes, já no CRCEA-SE Galeão e Campinas todos estes registraram os menores índices em relação aos demais monitorados no grupo de regionais.</w:t>
      </w:r>
    </w:p>
    <w:p>
      <w:pPr>
        <w:pStyle w:val="Corpodetexto"/>
      </w:pPr>
      <w:r>
        <w:t xml:space="preserve">Os destaques negativos no CINDACTA I, foram Brasília e Cuiabá, no CINDACTA II, Curitiba e Maringá, no CINDACTA III, Fernando de Noronha e São Luís, no CINDACTA IV, Belém e Rio Branco, já no CRCEA-SE Guarulhos e Congonhas todos estes registraram os maiores índices em relação aos demais monitorados no grupo de regionais.</w:t>
      </w:r>
    </w:p>
    <w:p>
      <w:pPr>
        <w:pStyle w:val="Corpodetexto"/>
      </w:pPr>
      <w:r>
        <w:t xml:space="preserve">Em relação a Congonhas (SBSP), a estrutura de espaço aéreo figura como um dos fatores que podem ter contribuído para o descolamento apresentado. Na região de ingresso de aeronaves na TMA-SP provenientes da FIR-BS com este destino, existem perfis de chegadas e saídas relacionadas a Campinas (SBKP), bem como saídas de Guarulhos (SBGR) que ocasionam restrições de descida.</w:t>
      </w:r>
    </w:p>
    <w:p>
      <w:pPr>
        <w:pStyle w:val="Corpodetexto"/>
      </w:pPr>
      <w:r>
        <w:t xml:space="preserve">Além disso, mais próximo ao aeroporto, a trajetória paralela e contrária ao sentido do pouso (comumente chamada de perna-do-vento radar) apresenta um segmento necessariamente nivelado para garantir separação em relação às decolagens para a FIR-CW, que passam por baixo, como também daquelas provenientes de Guarulhos (SBGR) para a mesma região, que passam por cima.</w:t>
      </w:r>
    </w:p>
    <w:p>
      <w:pPr>
        <w:pStyle w:val="Corpodetexto"/>
      </w:pPr>
      <w:r>
        <w:t xml:space="preserve">Colabora também nesse aspecto que, especialmente em momentos de grande demanda, há frequentes esperas niveladas para o aeroporto, que também são contabilizadas pela metodologia de cálculo como segmento nivelado. Nesses momentos, reduções de velocidade também geram alongamento de trechos nivelados pela influência que as desacelerações causam na atitude vertical da aeronave.</w:t>
      </w:r>
    </w:p>
    <w:p>
      <w:pPr>
        <w:pStyle w:val="Corpodetexto"/>
      </w:pPr>
      <w:r>
        <w:t xml:space="preserve">Acerca de Guarulhos (SBGR), o</w:t>
      </w:r>
      <w:r>
        <w:t xml:space="preserve"> </w:t>
      </w:r>
      <w:r>
        <w:rPr>
          <w:i/>
          <w:iCs/>
        </w:rPr>
        <w:t xml:space="preserve">Point Merge System</w:t>
      </w:r>
      <w:r>
        <w:t xml:space="preserve"> </w:t>
      </w:r>
      <w:r>
        <w:t xml:space="preserve">pode influenciar nesse aspecto, especialmente em momentos de demanda alta ou moderada. Como a técnica envolve seguir arcos nivelados por tempo suficiente para que a separação longitudinal necessária seja atingida, quanto maior a demanda, maior o número de aeronaves que se mantêm niveladas e, dependendo do momento, maior o tempo nessa situação.</w:t>
      </w:r>
    </w:p>
    <w:p>
      <w:pPr>
        <w:pStyle w:val="Corpodetexto"/>
      </w:pPr>
      <w:r>
        <w:t xml:space="preserve">O comportamento variado do indicador sugere que, apesar dos avanços em algumas localidades, há desafios operacionais que precisam ser analisados nos aeroportos que apresentaram aumento no tempo de nivelamento. O monitoramento contínuo do KPI 19 será essencial para garantir que as boas práticas observadas em aeroportos com redução possam ser replicadas e que ajustes sejam feitos nas localidades onde houve piora, assegurando maior eficiência operacional e fluidez no fluxo de tráfego aéreo.</w:t>
      </w:r>
    </w:p>
    <w:bookmarkEnd w:id="301"/>
    <w:bookmarkStart w:id="310" w:name="Xfb083685d5765f42c88b0df25a359026ef7b116"/>
    <w:p>
      <w:pPr>
        <w:pStyle w:val="Ttulo3"/>
      </w:pPr>
      <w:r>
        <w:t xml:space="preserve">3.2.6 KPI 04 - EXTENSÃO EM ROTA DE PLANO DE VOO</w:t>
      </w:r>
    </w:p>
    <w:p>
      <w:pPr>
        <w:pStyle w:val="FirstParagraph"/>
      </w:pPr>
      <w:r>
        <w:t xml:space="preserve">O KPI 04 é um indicador da eficiência horizontal em rota da trajetória de voo planejada. Compara a distância percorrida na trajetória de voo planejada com uma distância ideal de referência associada ao caminho mais curto (Great-Circle) entre origem e destino. A extensão em rota de plano de voo é, portanto, a diferença entre a distância planejada e a distância ideal de referência, expressa como um percentual da distância de referência. Quanto menor o valor do KPI 04, mais eficiente se mostra a trajetória de voo planejada.</w:t>
      </w:r>
    </w:p>
    <w:p>
      <w:pPr>
        <w:pStyle w:val="Corpodetexto"/>
      </w:pPr>
      <w:r>
        <w:t xml:space="preserve">O valor do KPI 04 é influenciado por diversos fatores, tais como o desenho da rede de rotas, a disponibilidade de espaço aéreo, as preferências do usuário do espaço aéreo (por exemplo, para minimizar custo ou tempo de voo ou para maximizar o conforto do voo, levando em consideração as condições meteorológicas), assim como suas eventuais restrições, por exemplo, permissões de sobrevoo e limitações de performance das aeronaves.</w:t>
      </w:r>
    </w:p>
    <w:p>
      <w:pPr>
        <w:pStyle w:val="Corpodetexto"/>
      </w:pPr>
      <w:r>
        <w:t xml:space="preserve">Para a análise deste indicador, que diz respeito à fase de rotas das aeronaves, são estabelecidas áreas de exclusão em torno dos aeroportos de origem e destino.</w:t>
      </w:r>
    </w:p>
    <w:p>
      <w:pPr>
        <w:pStyle w:val="Corpodetexto"/>
      </w:pPr>
      <w:r>
        <w:t xml:space="preserve">A partir da definição das áreas de exclusão, surgem duas variantes distintas para o KPI 04. A primeira, Variante 1, utiliza um cilindro de 40 NM em torno dos aeroportos de partida e de destino como o início ou fim do espaço aéreo em rota. A Variante 2, por sua vez, utiliza um cilindro de 40 NM em torno do cilindro de partida e um cilindro de 100 NM em torno do aeroporto de destino como o início ou fim do espaço aéreo em rota.</w:t>
      </w:r>
    </w:p>
    <w:p>
      <w:pPr>
        <w:pStyle w:val="Corpodetexto"/>
      </w:pPr>
      <w:r>
        <w:t xml:space="preserve">Com o objetivo de facilitar análises comparativas de performance e o</w:t>
      </w:r>
      <w:r>
        <w:t xml:space="preserve"> </w:t>
      </w:r>
      <w:r>
        <w:rPr>
          <w:i/>
          <w:iCs/>
        </w:rPr>
        <w:t xml:space="preserve">benchmarking</w:t>
      </w:r>
      <w:r>
        <w:t xml:space="preserve"> </w:t>
      </w:r>
      <w:r>
        <w:t xml:space="preserve">internacional, este relatório apresenta apenas os valores do KPI 04 na Variante 1, uma vez que essa abordagem tem sido adotada em relatórios recentes de performance ATM do DECEA.</w:t>
      </w:r>
    </w:p>
    <w:p>
      <w:pPr>
        <w:pStyle w:val="Corpodetexto"/>
      </w:pPr>
      <w:r>
        <w:t xml:space="preserve">Os resultados precisam de mais validação e mais tempo para pesquisa, com o objetivo de explicar algumas variações encontradas neles. Sobre algumas mudanças importantes, a explicação está na análise do KPI 19.</w:t>
      </w:r>
    </w:p>
    <w:p>
      <w:pPr>
        <w:pStyle w:val="Corpodetexto"/>
      </w:pPr>
      <w:r>
        <w:t xml:space="preserve">A</w:t>
      </w:r>
      <w:r>
        <w:t xml:space="preserve"> </w:t>
      </w:r>
      <w:hyperlink w:anchor="fig-kpi-04">
        <w:r>
          <w:rPr>
            <w:rStyle w:val="Hyperlink"/>
          </w:rPr>
          <w:t xml:space="preserve">Figura 3.19</w:t>
        </w:r>
      </w:hyperlink>
      <w:r>
        <w:t xml:space="preserve"> </w:t>
      </w:r>
      <w:r>
        <w:t xml:space="preserve">representa a média do KPI 04, em 2024 e 2025, para as Top-20 rotas com maior volume de demanda em 2025. De maneira geral, observa-se uma elevada eficiência horizontal em rota das trajetórias planejadas, com valores do KPI 04 inferiores a 3% na maioria das rotas.</w:t>
      </w:r>
    </w:p>
    <w:p>
      <w:pPr>
        <w:pStyle w:val="Corpodetexto"/>
      </w:pPr>
      <w:r>
        <w:t xml:space="preserve">Por outro lado, a rota Curitiba (SBCT) - Congonhas (SBSP) apresentou um valor significativamente mais elevado do KPI, de 24,1%, evidenciando uma menor eficiência horizontal em rota dos voos planejados para esse par de cidades, isso por conta do perfil de chegada, potencializado pela escolha da Variante 1, incluindo procedimentos necessários da Terminal, que podem representar ineficiência para a rota.</w:t>
      </w:r>
    </w:p>
    <w:p>
      <w:pPr>
        <w:pStyle w:val="Corpodetexto"/>
      </w:pPr>
      <w:r>
        <w:t xml:space="preserve">Nesse caso, verifica-se como fator de incremento a estrutura da rede de rotas de chegada e saída entre as terminais envolvidas. O espaço aéreo que compreenderia o caminho mais curto possível entre essas TMA hoje se dedica a rotas de saída de Congonhas (SBSP), Guarulhos (SBGR) e Campinas (SBKP) para os aeroportos do sul do Brasil, especialmente Curitiba (SBCT) e Porto Alegre (SBPA). Dessa forma, uma eventual rota direta entre Curitiba (SBCT) e Congonhas (SBSP) estaria na contramão das premissas de concepção do espaço aéreo. Assim, a rota hoje prevê prolongamentos mais ao sul dessas terminais para ingresso por esse setor da Terminal São Paulo, em conjunto com o fluxo proveniente da Terminal Rio de Janeiro com esse mesmo destino.</w:t>
      </w:r>
    </w:p>
    <w:p>
      <w:pPr>
        <w:pStyle w:val="Corpodetexto"/>
      </w:pPr>
      <w:r>
        <w:t xml:space="preserve">Para todas as rotas, o valor médio do KPI04 manteve-se idêntico ou muito semelhante de 2024 para 2025. Esta estabilidade sugere uma manutenção do padrão de uso da rede de rotas pelos operadores de um ano para o outro. Em outras palavras, não foi identificada alteração significativa no planejamento de voos de 2024 para 2025 nas top-20 rotas analisadas.</w:t>
      </w:r>
    </w:p>
    <w:tbl>
      <w:tblPr>
        <w:tblStyle w:val="Table"/>
        <w:tblW w:type="pct" w:w="5000"/>
        <w:tblLayout w:type="fixed"/>
        <w:tblLook w:firstRow="0" w:lastRow="0" w:firstColumn="0" w:lastColumn="0" w:noHBand="0" w:noVBand="0" w:val="0000"/>
      </w:tblPr>
      <w:tblGrid>
        <w:gridCol w:w="7920"/>
      </w:tblGrid>
      <w:tr>
        <w:tc>
          <w:tcPr/>
          <w:bookmarkStart w:id="305" w:name="fig-kpi-04"/>
          <w:p>
            <w:pPr>
              <w:pStyle w:val="Compact"/>
              <w:jc w:val="center"/>
            </w:pPr>
            <w:r>
              <w:drawing>
                <wp:inline>
                  <wp:extent cx="5977890" cy="2590419"/>
                  <wp:effectExtent b="0" l="0" r="0" t="0"/>
                  <wp:docPr descr="" title="" id="303" name="Picture"/>
                  <a:graphic>
                    <a:graphicData uri="http://schemas.openxmlformats.org/drawingml/2006/picture">
                      <pic:pic>
                        <pic:nvPicPr>
                          <pic:cNvPr descr="03-Indicadores_files/figure-docx/fig-kpi-04-1.png" id="304" name="Picture"/>
                          <pic:cNvPicPr>
                            <a:picLocks noChangeArrowheads="1" noChangeAspect="1"/>
                          </pic:cNvPicPr>
                        </pic:nvPicPr>
                        <pic:blipFill>
                          <a:blip r:embed="rId302"/>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3.19: KPI 04 - Extensão em Rota de Plano de Voo Apresentado</w:t>
            </w:r>
          </w:p>
          <w:bookmarkEnd w:id="305"/>
        </w:tc>
      </w:tr>
    </w:tbl>
    <w:tbl>
      <w:tblPr>
        <w:tblStyle w:val="Table"/>
        <w:tblW w:type="pct" w:w="5000"/>
        <w:tblLayout w:type="fixed"/>
        <w:tblLook w:firstRow="0" w:lastRow="0" w:firstColumn="0" w:lastColumn="0" w:noHBand="0" w:noVBand="0" w:val="0000"/>
      </w:tblPr>
      <w:tblGrid>
        <w:gridCol w:w="7920"/>
      </w:tblGrid>
      <w:tr>
        <w:tc>
          <w:tcPr/>
          <w:bookmarkStart w:id="309" w:name="fig-figrota"/>
          <w:p>
            <w:pPr>
              <w:pStyle w:val="Compact"/>
              <w:jc w:val="center"/>
            </w:pPr>
            <w:r>
              <w:drawing>
                <wp:inline>
                  <wp:extent cx="5313680" cy="3757606"/>
                  <wp:effectExtent b="0" l="0" r="0" t="0"/>
                  <wp:docPr descr="" title="" id="307" name="Picture"/>
                  <a:graphic>
                    <a:graphicData uri="http://schemas.openxmlformats.org/drawingml/2006/picture">
                      <pic:pic>
                        <pic:nvPicPr>
                          <pic:cNvPr descr="imagens/73_Figura%20Rota.png" id="308" name="Picture"/>
                          <pic:cNvPicPr>
                            <a:picLocks noChangeArrowheads="1" noChangeAspect="1"/>
                          </pic:cNvPicPr>
                        </pic:nvPicPr>
                        <pic:blipFill>
                          <a:blip r:embed="rId306"/>
                          <a:stretch>
                            <a:fillRect/>
                          </a:stretch>
                        </pic:blipFill>
                        <pic:spPr bwMode="auto">
                          <a:xfrm>
                            <a:off x="0" y="0"/>
                            <a:ext cx="5313680" cy="3757606"/>
                          </a:xfrm>
                          <a:prstGeom prst="rect">
                            <a:avLst/>
                          </a:prstGeom>
                          <a:noFill/>
                          <a:ln w="9525">
                            <a:noFill/>
                            <a:headEnd/>
                            <a:tailEnd/>
                          </a:ln>
                        </pic:spPr>
                      </pic:pic>
                    </a:graphicData>
                  </a:graphic>
                </wp:inline>
              </w:drawing>
            </w:r>
          </w:p>
          <w:p>
            <w:pPr>
              <w:jc w:val="center"/>
            </w:pPr>
            <w:pPr>
              <w:jc w:val="left"/>
              <w:spacing w:before="200"/>
              <w:pStyle w:val="ImageCaption"/>
            </w:pPr>
            <w:r>
              <w:t xml:space="preserve">Figura 3.20: Trajetória Planejada Para a Rota SBCT-SBSP</w:t>
            </w:r>
          </w:p>
          <w:bookmarkEnd w:id="309"/>
        </w:tc>
      </w:tr>
    </w:tbl>
    <w:bookmarkEnd w:id="310"/>
    <w:bookmarkStart w:id="319" w:name="kpi-05---extensão-real-em-rota"/>
    <w:p>
      <w:pPr>
        <w:pStyle w:val="Ttulo3"/>
      </w:pPr>
      <w:r>
        <w:t xml:space="preserve">3.2.7 KPI 05 - EXTENSÃO REAL EM ROTA</w:t>
      </w:r>
    </w:p>
    <w:p>
      <w:pPr>
        <w:pStyle w:val="FirstParagraph"/>
      </w:pPr>
      <w:r>
        <w:t xml:space="preserve">O KPI 05 é um indicador essencial para a avaliação da eficiência da trajetória de voo na fase de rota, mensurando a ineficiência horizontal com base na diferença entre a distância efetivamente percorrida e a distância ideal de referência, calculada pelo menor caminho geodésico (</w:t>
      </w:r>
      <w:r>
        <w:rPr>
          <w:i/>
          <w:iCs/>
        </w:rPr>
        <w:t xml:space="preserve">Great-Circle</w:t>
      </w:r>
      <w:r>
        <w:t xml:space="preserve">) entre a origem e o destino.</w:t>
      </w:r>
    </w:p>
    <w:p>
      <w:pPr>
        <w:pStyle w:val="Corpodetexto"/>
      </w:pPr>
      <w:r>
        <w:t xml:space="preserve">Essa métrica é expressa em termos percentuais, representando o excesso de distância voada em relação à trajetória teoricamente mais curta. Quanto menor for o valor do KPI 05, maior será a eficiência da navegação aérea, resultando em benefícios operacionais significativos, como a redução do consumo de combustível, das emissões de CO e do tempo de voo.</w:t>
      </w:r>
    </w:p>
    <w:tbl>
      <w:tblPr>
        <w:tblStyle w:val="Table"/>
        <w:tblW w:type="pct" w:w="5000"/>
        <w:tblLayout w:type="fixed"/>
        <w:tblLook w:firstRow="0" w:lastRow="0" w:firstColumn="0" w:lastColumn="0" w:noHBand="0" w:noVBand="0" w:val="0000"/>
      </w:tblPr>
      <w:tblGrid>
        <w:gridCol w:w="7920"/>
      </w:tblGrid>
      <w:tr>
        <w:tc>
          <w:tcPr/>
          <w:bookmarkStart w:id="314" w:name="fig-kpi-05"/>
          <w:p>
            <w:pPr>
              <w:pStyle w:val="Compact"/>
              <w:jc w:val="center"/>
            </w:pPr>
            <w:r>
              <w:drawing>
                <wp:inline>
                  <wp:extent cx="5977890" cy="2590419"/>
                  <wp:effectExtent b="0" l="0" r="0" t="0"/>
                  <wp:docPr descr="" title="" id="312" name="Picture"/>
                  <a:graphic>
                    <a:graphicData uri="http://schemas.openxmlformats.org/drawingml/2006/picture">
                      <pic:pic>
                        <pic:nvPicPr>
                          <pic:cNvPr descr="03-Indicadores_files/figure-docx/fig-kpi-05-1.png" id="313" name="Picture"/>
                          <pic:cNvPicPr>
                            <a:picLocks noChangeArrowheads="1" noChangeAspect="1"/>
                          </pic:cNvPicPr>
                        </pic:nvPicPr>
                        <pic:blipFill>
                          <a:blip r:embed="rId311"/>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3.21: KPI 05 - Extensão Real em Rota</w:t>
            </w:r>
          </w:p>
          <w:bookmarkEnd w:id="314"/>
        </w:tc>
      </w:tr>
    </w:tbl>
    <w:p>
      <w:pPr>
        <w:pStyle w:val="Corpodetexto"/>
      </w:pPr>
      <w:r>
        <w:t xml:space="preserve">Dessa forma, a análise do KPI 05 permite avaliar a efetividade do gerenciamento do espaço aéreo, possibilitando a implementação de melhorias nos procedimentos de navegação e otimização das rotas para promover operações mais sustentáveis e economicamente viáveis no setor da aviação civil.</w:t>
      </w:r>
    </w:p>
    <w:p>
      <w:pPr>
        <w:pStyle w:val="Corpodetexto"/>
      </w:pPr>
      <w:r>
        <w:t xml:space="preserve">Assim como no KPI 04, a delimitação da fase de rota no KPI 05 é estabelecida por meio de áreas de exclusão definidas por cilindros de raio predefinido ao redor dos aeroportos de origem e destino. Especificamente, considera-se um cilindro com raio de 40 NM no entorno do aeroporto de origem, enquanto o aeroporto de destino pode ter um cilindro de exclusão de 40 NM (Variante 1) ou 100 NM (Variante 2).</w:t>
      </w:r>
    </w:p>
    <w:p>
      <w:pPr>
        <w:pStyle w:val="Corpodetexto"/>
      </w:pPr>
      <w:r>
        <w:t xml:space="preserve">Para fins de padronização e análise comparativa, este relatório adota exclusivamente a Variante 1, garantindo consistência metodológica na avaliação do desempenho da navegação aérea. Essa abordagem facilita a identificação de oportunidades de otimização da eficiência operacional e permite comparações mais precisas com os dados do KPI 04, contribuindo para um gerenciamento mais eficaz do espaço aéreo.</w:t>
      </w:r>
    </w:p>
    <w:p>
      <w:pPr>
        <w:pStyle w:val="Corpodetexto"/>
      </w:pPr>
      <w:r>
        <w:t xml:space="preserve">O KPI 05 é influenciado por diversos fatores estruturais e operacionais, como o desenho do espaço aéreo, a escolha da rota pelo operador, as condições meteorológicas (as quais podem afetar tanto em nível estratégico, no planejamento da trajetória de voo, como em nível tático, na execução da trajetória) e as intervenções táticas do ATC para o gerenciamento do fluxo de tráfego e da capacidade do espaço aéreo e para a gestão de separações em rota.</w:t>
      </w:r>
    </w:p>
    <w:p>
      <w:pPr>
        <w:pStyle w:val="Corpodetexto"/>
      </w:pPr>
      <w:r>
        <w:t xml:space="preserve">Os resultados precisam de mais validação e mais tempo para pesquisa, com o objetivo de explicar algumas variações encontradas neles. Sobre algumas mudanças importantes, a explicação está na análise do KPI 19.</w:t>
      </w:r>
    </w:p>
    <w:p>
      <w:pPr>
        <w:pStyle w:val="Corpodetexto"/>
      </w:pPr>
      <w:r>
        <w:t xml:space="preserve">Os resultados de 2024 na rotas Congonhas (SBSP) – Florianópolis (SBFL) e Congonhas (SBSP) – Salvador (SBSV) foram descartados devido a necessidade de mais validação.</w:t>
      </w:r>
    </w:p>
    <w:tbl>
      <w:tblPr>
        <w:tblStyle w:val="Table"/>
        <w:tblW w:type="pct" w:w="5000"/>
        <w:tblLayout w:type="fixed"/>
        <w:tblLook w:firstRow="0" w:lastRow="0" w:firstColumn="0" w:lastColumn="0" w:noHBand="0" w:noVBand="0" w:val="0000"/>
      </w:tblPr>
      <w:tblGrid>
        <w:gridCol w:w="7920"/>
      </w:tblGrid>
      <w:tr>
        <w:tc>
          <w:tcPr/>
          <w:bookmarkStart w:id="318" w:name="fig-GfKPI05B"/>
          <w:p>
            <w:pPr>
              <w:pStyle w:val="Compact"/>
              <w:jc w:val="center"/>
            </w:pPr>
            <w:r>
              <w:drawing>
                <wp:inline>
                  <wp:extent cx="5313680" cy="3757606"/>
                  <wp:effectExtent b="0" l="0" r="0" t="0"/>
                  <wp:docPr descr="" title="" id="316" name="Picture"/>
                  <a:graphic>
                    <a:graphicData uri="http://schemas.openxmlformats.org/drawingml/2006/picture">
                      <pic:pic>
                        <pic:nvPicPr>
                          <pic:cNvPr descr="imagens/74_fig104B.png" id="317" name="Picture"/>
                          <pic:cNvPicPr>
                            <a:picLocks noChangeArrowheads="1" noChangeAspect="1"/>
                          </pic:cNvPicPr>
                        </pic:nvPicPr>
                        <pic:blipFill>
                          <a:blip r:embed="rId315"/>
                          <a:stretch>
                            <a:fillRect/>
                          </a:stretch>
                        </pic:blipFill>
                        <pic:spPr bwMode="auto">
                          <a:xfrm>
                            <a:off x="0" y="0"/>
                            <a:ext cx="5313680" cy="3757606"/>
                          </a:xfrm>
                          <a:prstGeom prst="rect">
                            <a:avLst/>
                          </a:prstGeom>
                          <a:noFill/>
                          <a:ln w="9525">
                            <a:noFill/>
                            <a:headEnd/>
                            <a:tailEnd/>
                          </a:ln>
                        </pic:spPr>
                      </pic:pic>
                    </a:graphicData>
                  </a:graphic>
                </wp:inline>
              </w:drawing>
            </w:r>
          </w:p>
          <w:p>
            <w:pPr>
              <w:jc w:val="center"/>
            </w:pPr>
            <w:pPr>
              <w:jc w:val="left"/>
              <w:spacing w:before="200"/>
              <w:pStyle w:val="ImageCaption"/>
            </w:pPr>
            <w:r>
              <w:t xml:space="preserve">Figura 3.22: Trajetória Executada Para a Rota SBCT-SBSP</w:t>
            </w:r>
          </w:p>
          <w:bookmarkEnd w:id="318"/>
        </w:tc>
      </w:tr>
    </w:tbl>
    <w:p>
      <w:pPr>
        <w:pStyle w:val="Corpodetexto"/>
      </w:pPr>
      <w:r>
        <w:t xml:space="preserve">As rotas Curitiba (SBCT) - Congonhas (SBSP), Confins (SBCF) - Congonhas (SBSP), Curitiba (SBCT) - Guarulhos (SBGR) e Florianópolis (SBFL) - Congonhas (SBSP) se destacaram com valores de extensão real em rota mais elevados. As rotas apresentaram índices de 25,7%, 15,5%, 18,5% e 38,2%, respectivamente, tendo sido observado um aumento do KPI nessas rotas de 2024 para 2025. Considerando que o KPI 05 manteve-se relativamente estável, os resultados indicam que os altos valores na extensão real em rota está predominantemente associado a fatores operacionais.</w:t>
      </w:r>
    </w:p>
    <w:bookmarkEnd w:id="319"/>
    <w:bookmarkStart w:id="324" w:name="kpi-18---nível-limite-durante-o-cruzeiro"/>
    <w:p>
      <w:pPr>
        <w:pStyle w:val="Ttulo3"/>
      </w:pPr>
      <w:r>
        <w:t xml:space="preserve">3.2.8 KPI 18 - NÍVEL LIMITE DURANTE O CRUZEIRO</w:t>
      </w:r>
    </w:p>
    <w:p>
      <w:pPr>
        <w:pStyle w:val="FirstParagraph"/>
      </w:pPr>
      <w:r>
        <w:t xml:space="preserve">O KPI 18 avalia a eficiência vertical dos voos em rota, por meio da comparação das altitudes máximas das trajetórias entre um par de aeroportos específicos com as altitudes máximas observadas para voos de referência entre pares de aeroportos semelhantes, ou seja, que possuem uma distância direta (</w:t>
      </w:r>
      <w:r>
        <w:rPr>
          <w:i/>
          <w:iCs/>
        </w:rPr>
        <w:t xml:space="preserve">Great-Circle</w:t>
      </w:r>
      <w:r>
        <w:t xml:space="preserve">) semelhante à do par de aeroportos examinado.</w:t>
      </w:r>
    </w:p>
    <w:p>
      <w:pPr>
        <w:pStyle w:val="Corpodetexto"/>
      </w:pPr>
      <w:r>
        <w:t xml:space="preserve">A eficiência vertical em rota tem grande impacto no consumo de combustível da aeronave, pois o consumo tende a reduzir com o aumento da altitude. Uma vez que o tipo de aeronave tem uma influência significativa na altitude de cruzeiro, a análise é realizada para grupos de aeronaves com performance semelhante (por exemplo, apenas aeronaves a jato, aeronaves turboélice, etc.).</w:t>
      </w:r>
    </w:p>
    <w:p>
      <w:pPr>
        <w:pStyle w:val="Corpodetexto"/>
      </w:pPr>
      <w:r>
        <w:t xml:space="preserve">O KPI 18 baseia-se na hipótese de que voos entre pares de aeroportos que possuem distâncias similares, realizados com um mesmo tipo de aeronave, apresentariam altitudes máximas semelhantes. O fator diferenciador entre os dois conjuntos de voos pode ser a presença de restrições específicas como</w:t>
      </w:r>
      <w:r>
        <w:t xml:space="preserve"> </w:t>
      </w:r>
      <w:r>
        <w:t xml:space="preserve">“level capping”</w:t>
      </w:r>
      <w:r>
        <w:t xml:space="preserve"> </w:t>
      </w:r>
      <w:r>
        <w:t xml:space="preserve">ou outras medidas de gerenciamento de fluxo de tráfego aéreo, as preferências do usuário do espaço aéreo, entre outros fatores. Caso a distribuição das altitudes máximas dos voos no par de aeroportos analisados seja discrepante da distribuição de referência, apresentando valores sistematicamente menores, tem-se um potencial indicativo de ineficiência vertical em rota.</w:t>
      </w:r>
    </w:p>
    <w:p>
      <w:pPr>
        <w:pStyle w:val="Corpodetexto"/>
      </w:pPr>
      <w:r>
        <w:t xml:space="preserve">Os resultados precisam de mais validação e mais tempo para pesquisa, com o objetivo de explicar algumas variações encontradas neles. Sobre algumas mudanças importantes, a explicação está na análise do KPI 19.</w:t>
      </w:r>
    </w:p>
    <w:p>
      <w:pPr>
        <w:pStyle w:val="Corpodetexto"/>
      </w:pPr>
      <w:r>
        <w:t xml:space="preserve">A</w:t>
      </w:r>
      <w:r>
        <w:t xml:space="preserve"> </w:t>
      </w:r>
      <w:hyperlink w:anchor="fig-kpi-18">
        <w:r>
          <w:rPr>
            <w:rStyle w:val="Hyperlink"/>
          </w:rPr>
          <w:t xml:space="preserve">Figura 3.23</w:t>
        </w:r>
      </w:hyperlink>
      <w:r>
        <w:t xml:space="preserve"> </w:t>
      </w:r>
      <w:r>
        <w:t xml:space="preserve">apresenta a média do KPI 18 em diferença de altitude para as principais rotas analisadas em 2025. De maneira geral, a eficiência vertical em rota se manteve elevada, com valores do KPI 18 inferiores a 2.000 ft na maioria dos casos. No entanto, nota-se um aumento da ineficiência vertical em algumas rotas, especialmente aquelas que partem da TMA-SP.</w:t>
      </w:r>
    </w:p>
    <w:tbl>
      <w:tblPr>
        <w:tblStyle w:val="Table"/>
        <w:tblW w:type="pct" w:w="5000"/>
        <w:tblLayout w:type="fixed"/>
        <w:tblLook w:firstRow="0" w:lastRow="0" w:firstColumn="0" w:lastColumn="0" w:noHBand="0" w:noVBand="0" w:val="0000"/>
      </w:tblPr>
      <w:tblGrid>
        <w:gridCol w:w="7920"/>
      </w:tblGrid>
      <w:tr>
        <w:tc>
          <w:tcPr/>
          <w:bookmarkStart w:id="323" w:name="fig-kpi-18"/>
          <w:p>
            <w:pPr>
              <w:pStyle w:val="Compact"/>
              <w:jc w:val="center"/>
            </w:pPr>
            <w:r>
              <w:drawing>
                <wp:inline>
                  <wp:extent cx="5977890" cy="2590419"/>
                  <wp:effectExtent b="0" l="0" r="0" t="0"/>
                  <wp:docPr descr="" title="" id="321" name="Picture"/>
                  <a:graphic>
                    <a:graphicData uri="http://schemas.openxmlformats.org/drawingml/2006/picture">
                      <pic:pic>
                        <pic:nvPicPr>
                          <pic:cNvPr descr="03-Indicadores_files/figure-docx/fig-kpi-18-1.png" id="322" name="Picture"/>
                          <pic:cNvPicPr>
                            <a:picLocks noChangeArrowheads="1" noChangeAspect="1"/>
                          </pic:cNvPicPr>
                        </pic:nvPicPr>
                        <pic:blipFill>
                          <a:blip r:embed="rId320"/>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3.23: KPI 18 - Nivelamento Limite Durante o Cruzeiro</w:t>
            </w:r>
          </w:p>
          <w:bookmarkEnd w:id="323"/>
        </w:tc>
      </w:tr>
    </w:tbl>
    <w:p>
      <w:pPr>
        <w:pStyle w:val="Corpodetexto"/>
      </w:pPr>
      <w:r>
        <w:t xml:space="preserve">As rotas que apresentam os maiores valores de KPI 18 em 2025 são SBGR-SBGL (2605 ft) e SBGR-SBBR (16265 ft). Embora essas trajetórias tenham registrado uma redução na ineficiência vertical em comparação a 2024, ainda há um impacto significativo causado pela proximidade das TMAs e pelo elevado volume de tráfego nesses trechos.</w:t>
      </w:r>
    </w:p>
    <w:p>
      <w:pPr>
        <w:pStyle w:val="Corpodetexto"/>
      </w:pPr>
      <w:r>
        <w:t xml:space="preserve">Por outro lado, as rotas que partem da TMA-SP apresentaram aumento da ineficiência vertical. Esse fenômeno pode ser observado em trajetórias como SBGR-SBGL (2605 ft em 2025, contra 2137 ft em 2024) e rotas que, mesmo mantendo o índice abaixo dos 1000f, também apresentaram aumento, como SBSP-SBBR (527ft em 2025, contra 409ft em 2024) e SBSV-SBSP (871ft em 2025, contra 718ft em 2024). Essa piora pode ser explicada por restrições operacionais decorrentes do aumento da demanda, levando a um maior tempo de voo em níveis intermediários antes da estabilização na altitude ideal. A concentração de tráfego na saída da TMA-SP, especialmente em períodos de pico, pode ter intensificado a necessidade de sequenciamento de fluxo, resultando em níveis mais baixos ou nivelamentos prolongados antes do cruzeiro.</w:t>
      </w:r>
    </w:p>
    <w:p>
      <w:pPr>
        <w:pStyle w:val="Corpodetexto"/>
      </w:pPr>
      <w:r>
        <w:t xml:space="preserve">Outro fator relevante é que o aumento da demanda nessa terminal gera mais restrições na fase de subida, devido à necessidade de garantir separação com chegadas e saídas simultâneas. Isso pode forçar ajustes táticos pelo ATC, retardando a estabilização no nível de cruzeiro e impactando diretamente o KPI 18.</w:t>
      </w:r>
    </w:p>
    <w:p>
      <w:pPr>
        <w:pStyle w:val="Corpodetexto"/>
      </w:pPr>
      <w:r>
        <w:t xml:space="preserve">Apesar dessas variações, os resultados continuam demonstrando um alto nível de eficiência vertical nas principais rotas do país, sendo que os ajustes na circulação aérea e no gerenciamento de tráfego podem continuar aperfeiçoando a performance ao longo dos próximos ciclos de análise.</w:t>
      </w:r>
    </w:p>
    <w:bookmarkEnd w:id="324"/>
    <w:bookmarkEnd w:id="325"/>
    <w:bookmarkStart w:id="384" w:name="capacidade"/>
    <w:p>
      <w:pPr>
        <w:pStyle w:val="Ttulo2"/>
      </w:pPr>
      <w:r>
        <w:t xml:space="preserve">3.3 CAPACIDADE</w:t>
      </w:r>
    </w:p>
    <w:p>
      <w:pPr>
        <w:pStyle w:val="FirstParagraph"/>
      </w:pPr>
      <w:r>
        <w:t xml:space="preserve">A KPA Capacidade tem como base a ideia de que o PSNA deve utilizar ao máximo a capacidade disponível para atender a demanda dos usuários do espaço aéreo em horários de pico no sentido de evitar restrições ao fluxo de tráfego aéreo. Nessa área de performance, foram acompanhados os indicadores de Capacidade do Espaço Aéreo (KPI 06), Capacidade Declarada de Chegada (KPI 09) e Taxa-pico de Chegada (KPI 10).</w:t>
      </w:r>
    </w:p>
    <w:bookmarkStart w:id="346" w:name="kpi-06-capacidade-do-espaço-aéreo"/>
    <w:p>
      <w:pPr>
        <w:pStyle w:val="Ttulo3"/>
      </w:pPr>
      <w:r>
        <w:t xml:space="preserve">3.3.1 KPI 06 – CAPACIDADE DO ESPAÇO AÉREO</w:t>
      </w:r>
    </w:p>
    <w:p>
      <w:pPr>
        <w:pStyle w:val="FirstParagraph"/>
      </w:pPr>
      <w:r>
        <w:t xml:space="preserve">O KPI 06 – Capacidade do Espaço Aéreo, também chamado de Capacidade Horária de Setor (CHS), mede a fluidez do tráfego aéreo em um setor específico ou em um conjunto de setores. Esse indicador é fundamental para a alocação eficiente de recursos, além de contribuir para a identificação de possíveis gargalos na infraestrutura e a necessidade de investimentos estratégicos.</w:t>
      </w:r>
    </w:p>
    <w:p>
      <w:pPr>
        <w:pStyle w:val="Corpodetexto"/>
      </w:pPr>
      <w:r>
        <w:t xml:space="preserve">Este indicador não é atualizado com frequência, pois mudanças na capacidade declarada do espaço aéreo ocorrem, principalmente, em resposta à implementação de novos conceitos de espaço aéreo, avanços tecnológicos, inovações em gestão do tráfego aéreo (ATM) ou alterações na setorização da área de controle.</w:t>
      </w:r>
    </w:p>
    <w:p>
      <w:pPr>
        <w:pStyle w:val="Corpodetexto"/>
      </w:pPr>
      <w:r>
        <w:t xml:space="preserve">A setorização das FIR e suas respectivas CHS estão dispostas a seguir nas</w:t>
      </w:r>
      <w:r>
        <w:t xml:space="preserve"> </w:t>
      </w:r>
      <w:hyperlink w:anchor="fig-CHSBS">
        <w:r>
          <w:rPr>
            <w:rStyle w:val="Hyperlink"/>
          </w:rPr>
          <w:t xml:space="preserve">Figura 3.24</w:t>
        </w:r>
      </w:hyperlink>
      <w:r>
        <w:t xml:space="preserve"> </w:t>
      </w:r>
      <w:r>
        <w:t xml:space="preserve">a</w:t>
      </w:r>
      <w:r>
        <w:t xml:space="preserve"> </w:t>
      </w:r>
      <w:hyperlink w:anchor="fig-CHSAO">
        <w:r>
          <w:rPr>
            <w:rStyle w:val="Hyperlink"/>
          </w:rPr>
          <w:t xml:space="preserve">Figura 3.28</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329" w:name="fig-CHSBS"/>
          <w:p>
            <w:pPr>
              <w:pStyle w:val="Compact"/>
              <w:jc w:val="center"/>
            </w:pPr>
            <w:r>
              <w:drawing>
                <wp:inline>
                  <wp:extent cx="4649470" cy="2615326"/>
                  <wp:effectExtent b="0" l="0" r="0" t="0"/>
                  <wp:docPr descr="" title="" id="327" name="Picture"/>
                  <a:graphic>
                    <a:graphicData uri="http://schemas.openxmlformats.org/drawingml/2006/picture">
                      <pic:pic>
                        <pic:nvPicPr>
                          <pic:cNvPr descr="imagens/Regioes_C1.png" id="328" name="Picture"/>
                          <pic:cNvPicPr>
                            <a:picLocks noChangeArrowheads="1" noChangeAspect="1"/>
                          </pic:cNvPicPr>
                        </pic:nvPicPr>
                        <pic:blipFill>
                          <a:blip r:embed="rId326"/>
                          <a:stretch>
                            <a:fillRect/>
                          </a:stretch>
                        </pic:blipFill>
                        <pic:spPr bwMode="auto">
                          <a:xfrm>
                            <a:off x="0" y="0"/>
                            <a:ext cx="4649470" cy="2615326"/>
                          </a:xfrm>
                          <a:prstGeom prst="rect">
                            <a:avLst/>
                          </a:prstGeom>
                          <a:noFill/>
                          <a:ln w="9525">
                            <a:noFill/>
                            <a:headEnd/>
                            <a:tailEnd/>
                          </a:ln>
                        </pic:spPr>
                      </pic:pic>
                    </a:graphicData>
                  </a:graphic>
                </wp:inline>
              </w:drawing>
            </w:r>
          </w:p>
          <w:p>
            <w:pPr>
              <w:jc w:val="center"/>
            </w:pPr>
            <w:pPr>
              <w:jc w:val="left"/>
              <w:spacing w:before="200"/>
              <w:pStyle w:val="ImageCaption"/>
            </w:pPr>
            <w:r>
              <w:t xml:space="preserve">Figura 3.24: Setores da FIR-BS</w:t>
            </w:r>
          </w:p>
          <w:bookmarkEnd w:id="329"/>
        </w:tc>
      </w:tr>
    </w:tbl>
    <w:tbl>
      <w:tblPr>
        <w:tblStyle w:val="Table"/>
        <w:tblW w:type="pct" w:w="5000"/>
        <w:tblLayout w:type="fixed"/>
        <w:tblLook w:firstRow="0" w:lastRow="0" w:firstColumn="0" w:lastColumn="0" w:noHBand="0" w:noVBand="0" w:val="0000"/>
      </w:tblPr>
      <w:tblGrid>
        <w:gridCol w:w="7920"/>
      </w:tblGrid>
      <w:tr>
        <w:tc>
          <w:tcPr/>
          <w:bookmarkStart w:id="333" w:name="fig-CHSCW"/>
          <w:p>
            <w:pPr>
              <w:pStyle w:val="Compact"/>
              <w:jc w:val="center"/>
            </w:pPr>
            <w:r>
              <w:drawing>
                <wp:inline>
                  <wp:extent cx="4649470" cy="2615326"/>
                  <wp:effectExtent b="0" l="0" r="0" t="0"/>
                  <wp:docPr descr="" title="" id="331" name="Picture"/>
                  <a:graphic>
                    <a:graphicData uri="http://schemas.openxmlformats.org/drawingml/2006/picture">
                      <pic:pic>
                        <pic:nvPicPr>
                          <pic:cNvPr descr="imagens/Regioes_C2.png" id="332" name="Picture"/>
                          <pic:cNvPicPr>
                            <a:picLocks noChangeArrowheads="1" noChangeAspect="1"/>
                          </pic:cNvPicPr>
                        </pic:nvPicPr>
                        <pic:blipFill>
                          <a:blip r:embed="rId330"/>
                          <a:stretch>
                            <a:fillRect/>
                          </a:stretch>
                        </pic:blipFill>
                        <pic:spPr bwMode="auto">
                          <a:xfrm>
                            <a:off x="0" y="0"/>
                            <a:ext cx="4649470" cy="2615326"/>
                          </a:xfrm>
                          <a:prstGeom prst="rect">
                            <a:avLst/>
                          </a:prstGeom>
                          <a:noFill/>
                          <a:ln w="9525">
                            <a:noFill/>
                            <a:headEnd/>
                            <a:tailEnd/>
                          </a:ln>
                        </pic:spPr>
                      </pic:pic>
                    </a:graphicData>
                  </a:graphic>
                </wp:inline>
              </w:drawing>
            </w:r>
          </w:p>
          <w:p>
            <w:pPr>
              <w:jc w:val="center"/>
            </w:pPr>
            <w:pPr>
              <w:jc w:val="left"/>
              <w:spacing w:before="200"/>
              <w:pStyle w:val="ImageCaption"/>
            </w:pPr>
            <w:r>
              <w:t xml:space="preserve">Figura 3.25: Setores da FIR-CW</w:t>
            </w:r>
          </w:p>
          <w:bookmarkEnd w:id="333"/>
        </w:tc>
      </w:tr>
    </w:tbl>
    <w:tbl>
      <w:tblPr>
        <w:tblStyle w:val="Table"/>
        <w:tblW w:type="pct" w:w="5000"/>
        <w:tblLayout w:type="fixed"/>
        <w:tblLook w:firstRow="0" w:lastRow="0" w:firstColumn="0" w:lastColumn="0" w:noHBand="0" w:noVBand="0" w:val="0000"/>
      </w:tblPr>
      <w:tblGrid>
        <w:gridCol w:w="7920"/>
      </w:tblGrid>
      <w:tr>
        <w:tc>
          <w:tcPr/>
          <w:bookmarkStart w:id="337" w:name="fig-CHSRE"/>
          <w:p>
            <w:pPr>
              <w:pStyle w:val="Compact"/>
              <w:jc w:val="center"/>
            </w:pPr>
            <w:r>
              <w:drawing>
                <wp:inline>
                  <wp:extent cx="4649470" cy="2615326"/>
                  <wp:effectExtent b="0" l="0" r="0" t="0"/>
                  <wp:docPr descr="" title="" id="335" name="Picture"/>
                  <a:graphic>
                    <a:graphicData uri="http://schemas.openxmlformats.org/drawingml/2006/picture">
                      <pic:pic>
                        <pic:nvPicPr>
                          <pic:cNvPr descr="imagens/Regioes_C3.png" id="336" name="Picture"/>
                          <pic:cNvPicPr>
                            <a:picLocks noChangeArrowheads="1" noChangeAspect="1"/>
                          </pic:cNvPicPr>
                        </pic:nvPicPr>
                        <pic:blipFill>
                          <a:blip r:embed="rId334"/>
                          <a:stretch>
                            <a:fillRect/>
                          </a:stretch>
                        </pic:blipFill>
                        <pic:spPr bwMode="auto">
                          <a:xfrm>
                            <a:off x="0" y="0"/>
                            <a:ext cx="4649470" cy="2615326"/>
                          </a:xfrm>
                          <a:prstGeom prst="rect">
                            <a:avLst/>
                          </a:prstGeom>
                          <a:noFill/>
                          <a:ln w="9525">
                            <a:noFill/>
                            <a:headEnd/>
                            <a:tailEnd/>
                          </a:ln>
                        </pic:spPr>
                      </pic:pic>
                    </a:graphicData>
                  </a:graphic>
                </wp:inline>
              </w:drawing>
            </w:r>
          </w:p>
          <w:p>
            <w:pPr>
              <w:jc w:val="center"/>
            </w:pPr>
            <w:pPr>
              <w:jc w:val="left"/>
              <w:spacing w:before="200"/>
              <w:pStyle w:val="ImageCaption"/>
            </w:pPr>
            <w:r>
              <w:t xml:space="preserve">Figura 3.26: Setores da FIR-RE</w:t>
            </w:r>
          </w:p>
          <w:bookmarkEnd w:id="337"/>
        </w:tc>
      </w:tr>
    </w:tbl>
    <w:tbl>
      <w:tblPr>
        <w:tblStyle w:val="Table"/>
        <w:tblW w:type="pct" w:w="5000"/>
        <w:tblLayout w:type="fixed"/>
        <w:tblLook w:firstRow="0" w:lastRow="0" w:firstColumn="0" w:lastColumn="0" w:noHBand="0" w:noVBand="0" w:val="0000"/>
      </w:tblPr>
      <w:tblGrid>
        <w:gridCol w:w="7920"/>
      </w:tblGrid>
      <w:tr>
        <w:tc>
          <w:tcPr/>
          <w:bookmarkStart w:id="341" w:name="fig-CHSAZ"/>
          <w:p>
            <w:pPr>
              <w:pStyle w:val="Compact"/>
              <w:jc w:val="center"/>
            </w:pPr>
            <w:r>
              <w:drawing>
                <wp:inline>
                  <wp:extent cx="4649470" cy="2615326"/>
                  <wp:effectExtent b="0" l="0" r="0" t="0"/>
                  <wp:docPr descr="" title="" id="339" name="Picture"/>
                  <a:graphic>
                    <a:graphicData uri="http://schemas.openxmlformats.org/drawingml/2006/picture">
                      <pic:pic>
                        <pic:nvPicPr>
                          <pic:cNvPr descr="imagens/Regioes_C4.png" id="340" name="Picture"/>
                          <pic:cNvPicPr>
                            <a:picLocks noChangeArrowheads="1" noChangeAspect="1"/>
                          </pic:cNvPicPr>
                        </pic:nvPicPr>
                        <pic:blipFill>
                          <a:blip r:embed="rId338"/>
                          <a:stretch>
                            <a:fillRect/>
                          </a:stretch>
                        </pic:blipFill>
                        <pic:spPr bwMode="auto">
                          <a:xfrm>
                            <a:off x="0" y="0"/>
                            <a:ext cx="4649470" cy="2615326"/>
                          </a:xfrm>
                          <a:prstGeom prst="rect">
                            <a:avLst/>
                          </a:prstGeom>
                          <a:noFill/>
                          <a:ln w="9525">
                            <a:noFill/>
                            <a:headEnd/>
                            <a:tailEnd/>
                          </a:ln>
                        </pic:spPr>
                      </pic:pic>
                    </a:graphicData>
                  </a:graphic>
                </wp:inline>
              </w:drawing>
            </w:r>
          </w:p>
          <w:p>
            <w:pPr>
              <w:jc w:val="center"/>
            </w:pPr>
            <w:pPr>
              <w:jc w:val="left"/>
              <w:spacing w:before="200"/>
              <w:pStyle w:val="ImageCaption"/>
            </w:pPr>
            <w:r>
              <w:t xml:space="preserve">Figura 3.27: Setores da FIR-AZ</w:t>
            </w:r>
          </w:p>
          <w:bookmarkEnd w:id="341"/>
        </w:tc>
      </w:tr>
    </w:tbl>
    <w:tbl>
      <w:tblPr>
        <w:tblStyle w:val="Table"/>
        <w:tblW w:type="pct" w:w="5000"/>
        <w:tblLayout w:type="fixed"/>
        <w:tblLook w:firstRow="0" w:lastRow="0" w:firstColumn="0" w:lastColumn="0" w:noHBand="0" w:noVBand="0" w:val="0000"/>
      </w:tblPr>
      <w:tblGrid>
        <w:gridCol w:w="7920"/>
      </w:tblGrid>
      <w:tr>
        <w:tc>
          <w:tcPr/>
          <w:bookmarkStart w:id="345" w:name="fig-CHSAO"/>
          <w:p>
            <w:pPr>
              <w:pStyle w:val="Compact"/>
              <w:jc w:val="center"/>
            </w:pPr>
            <w:r>
              <w:drawing>
                <wp:inline>
                  <wp:extent cx="4649470" cy="2615326"/>
                  <wp:effectExtent b="0" l="0" r="0" t="0"/>
                  <wp:docPr descr="" title="" id="343" name="Picture"/>
                  <a:graphic>
                    <a:graphicData uri="http://schemas.openxmlformats.org/drawingml/2006/picture">
                      <pic:pic>
                        <pic:nvPicPr>
                          <pic:cNvPr descr="imagens/Regioes_AO.png" id="344" name="Picture"/>
                          <pic:cNvPicPr>
                            <a:picLocks noChangeArrowheads="1" noChangeAspect="1"/>
                          </pic:cNvPicPr>
                        </pic:nvPicPr>
                        <pic:blipFill>
                          <a:blip r:embed="rId342"/>
                          <a:stretch>
                            <a:fillRect/>
                          </a:stretch>
                        </pic:blipFill>
                        <pic:spPr bwMode="auto">
                          <a:xfrm>
                            <a:off x="0" y="0"/>
                            <a:ext cx="4649470" cy="2615326"/>
                          </a:xfrm>
                          <a:prstGeom prst="rect">
                            <a:avLst/>
                          </a:prstGeom>
                          <a:noFill/>
                          <a:ln w="9525">
                            <a:noFill/>
                            <a:headEnd/>
                            <a:tailEnd/>
                          </a:ln>
                        </pic:spPr>
                      </pic:pic>
                    </a:graphicData>
                  </a:graphic>
                </wp:inline>
              </w:drawing>
            </w:r>
          </w:p>
          <w:p>
            <w:pPr>
              <w:jc w:val="center"/>
            </w:pPr>
            <w:pPr>
              <w:jc w:val="left"/>
              <w:spacing w:before="200"/>
              <w:pStyle w:val="ImageCaption"/>
            </w:pPr>
            <w:r>
              <w:t xml:space="preserve">Figura 3.28: Setores da FIR-AO</w:t>
            </w:r>
          </w:p>
          <w:bookmarkEnd w:id="345"/>
        </w:tc>
      </w:tr>
    </w:tbl>
    <w:bookmarkEnd w:id="346"/>
    <w:bookmarkStart w:id="354" w:name="kpi-09-capacidade-declarada-de-chegada"/>
    <w:p>
      <w:pPr>
        <w:pStyle w:val="Ttulo3"/>
      </w:pPr>
      <w:r>
        <w:t xml:space="preserve">3.3.2 KPI 09 – CAPACIDADE DECLARADA DE CHEGADA</w:t>
      </w:r>
    </w:p>
    <w:p>
      <w:pPr>
        <w:pStyle w:val="FirstParagraph"/>
      </w:pPr>
      <w:r>
        <w:t xml:space="preserve">O KPI 09, denominado Capacidade Declarada de Chegada, representa o número máximo de pousos que um aeroporto pode acomodar dentro de um determinado intervalo de tempo, considerando variáveis como condições meteorológicas e estado da pista. Este KPI é uma ferramenta essencial para o planejamento do ATFM e para a otimização do uso da infraestrutura aeroportuária.</w:t>
      </w:r>
    </w:p>
    <w:p>
      <w:pPr>
        <w:pStyle w:val="Corpodetexto"/>
      </w:pPr>
      <w:r>
        <w:t xml:space="preserve">A medição da capacidade de pista é conduzida pelo CGNA, que, em parceria com a ANAC e o Administrador Aeroportuário, define a capacidade aeroportuária. A</w:t>
      </w:r>
      <w:r>
        <w:t xml:space="preserve"> </w:t>
      </w:r>
      <w:hyperlink w:anchor="fig-kpi-09b">
        <w:r>
          <w:rPr>
            <w:rStyle w:val="Hyperlink"/>
          </w:rPr>
          <w:t xml:space="preserve">Figura 3.29</w:t>
        </w:r>
      </w:hyperlink>
      <w:r>
        <w:t xml:space="preserve"> </w:t>
      </w:r>
      <w:r>
        <w:t xml:space="preserve">apresenta as capacidades declaradas de chegada nos aeroportos divididos nos respectivos regionais do DECEA.</w:t>
      </w:r>
    </w:p>
    <w:p>
      <w:pPr>
        <w:pStyle w:val="Corpodetexto"/>
      </w:pPr>
      <w:r>
        <w:drawing>
          <wp:inline>
            <wp:extent cx="5977890" cy="2590419"/>
            <wp:effectExtent b="0" l="0" r="0" t="0"/>
            <wp:docPr descr="" title="" id="348" name="Picture"/>
            <a:graphic>
              <a:graphicData uri="http://schemas.openxmlformats.org/drawingml/2006/picture">
                <pic:pic>
                  <pic:nvPicPr>
                    <pic:cNvPr descr="03-Indicadores_files/figure-docx/unnamed-chunk-10-1.png" id="349" name="Picture"/>
                    <pic:cNvPicPr>
                      <a:picLocks noChangeArrowheads="1" noChangeAspect="1"/>
                    </pic:cNvPicPr>
                  </pic:nvPicPr>
                  <pic:blipFill>
                    <a:blip r:embed="rId347"/>
                    <a:stretch>
                      <a:fillRect/>
                    </a:stretch>
                  </pic:blipFill>
                  <pic:spPr bwMode="auto">
                    <a:xfrm>
                      <a:off x="0" y="0"/>
                      <a:ext cx="5977890" cy="2590419"/>
                    </a:xfrm>
                    <a:prstGeom prst="rect">
                      <a:avLst/>
                    </a:prstGeom>
                    <a:noFill/>
                    <a:ln w="9525">
                      <a:noFill/>
                      <a:headEnd/>
                      <a:tailEnd/>
                    </a:ln>
                  </pic:spPr>
                </pic:pic>
              </a:graphicData>
            </a:graphic>
          </wp:inline>
        </w:drawing>
      </w:r>
    </w:p>
    <w:tbl>
      <w:tblPr>
        <w:tblStyle w:val="Table"/>
        <w:tblW w:type="pct" w:w="5000"/>
        <w:tblLayout w:type="fixed"/>
        <w:tblLook w:firstRow="0" w:lastRow="0" w:firstColumn="0" w:lastColumn="0" w:noHBand="0" w:noVBand="0" w:val="0000"/>
      </w:tblPr>
      <w:tblGrid>
        <w:gridCol w:w="7920"/>
      </w:tblGrid>
      <w:tr>
        <w:tc>
          <w:tcPr/>
          <w:bookmarkStart w:id="353" w:name="fig-kpi-09b"/>
          <w:p>
            <w:pPr>
              <w:pStyle w:val="Compact"/>
              <w:jc w:val="center"/>
            </w:pPr>
            <w:r>
              <w:drawing>
                <wp:inline>
                  <wp:extent cx="5977890" cy="2590419"/>
                  <wp:effectExtent b="0" l="0" r="0" t="0"/>
                  <wp:docPr descr="" title="" id="351" name="Picture"/>
                  <a:graphic>
                    <a:graphicData uri="http://schemas.openxmlformats.org/drawingml/2006/picture">
                      <pic:pic>
                        <pic:nvPicPr>
                          <pic:cNvPr descr="03-Indicadores_files/figure-docx/fig-kpi-09b-1.png" id="352" name="Picture"/>
                          <pic:cNvPicPr>
                            <a:picLocks noChangeArrowheads="1" noChangeAspect="1"/>
                          </pic:cNvPicPr>
                        </pic:nvPicPr>
                        <pic:blipFill>
                          <a:blip r:embed="rId350"/>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3.29: KPI 09 - Capacidade de Chegada no Aeroporto</w:t>
            </w:r>
          </w:p>
          <w:bookmarkEnd w:id="353"/>
        </w:tc>
      </w:tr>
    </w:tbl>
    <w:p>
      <w:pPr>
        <w:pStyle w:val="Corpodetexto"/>
      </w:pPr>
      <w:r>
        <w:t xml:space="preserve">O Aeroporto de Brasília, com 48 movimentos de capacidade declarada de chegada, é o aeroporto com maior valor para o KPI 09, isso devido a sua infraestrutura de pistas paralelas independentes. Seguido pelo Aeroporto de Guarulhos, com capacidade declarada de chegada de 34 movimentos, devido às suas pistas paralelas com operações segregadas.</w:t>
      </w:r>
    </w:p>
    <w:p>
      <w:pPr>
        <w:pStyle w:val="Corpodetexto"/>
      </w:pPr>
      <w:r>
        <w:t xml:space="preserve">O Aeroporto de Fernando de Noronha (SBFN) e de Rio Branco (SBRB) não apresentaram dados para a análise da capacidade declarada de chegada. Enquanto os demais Aeroportos não apresentaram variação em sua capacidade declarada de chegada.</w:t>
      </w:r>
    </w:p>
    <w:bookmarkEnd w:id="354"/>
    <w:bookmarkStart w:id="366" w:name="kpi-10-taxa-pico-de-chegada"/>
    <w:p>
      <w:pPr>
        <w:pStyle w:val="Ttulo3"/>
      </w:pPr>
      <w:r>
        <w:t xml:space="preserve">3.3.3 KPI 10 – TAXA-PICO DE CHEGADA</w:t>
      </w:r>
    </w:p>
    <w:p>
      <w:pPr>
        <w:pStyle w:val="FirstParagraph"/>
      </w:pPr>
      <w:r>
        <w:t xml:space="preserve">Este indicador representa o 95º percentil do número de pousos em um aeroporto, ordenados por horas crescentes de congestionamento. Como parte do Plano de Performance ATM, o monitoramento inicialmente cobria 20 aeroportos e, com a atualização do plano, passou a incluir os aeroportos de maior interesse, expandindo a análise para 40 aeroportos neste relatório.</w:t>
      </w:r>
    </w:p>
    <w:p>
      <w:pPr>
        <w:pStyle w:val="Corpodetexto"/>
      </w:pPr>
      <w:r>
        <w:t xml:space="preserve">O KPI 10 mede a taxa de pousos durante períodos de demanda máxima em um determinado intervalo de tempo. Em aeroportos congestionados, esse indicador reflete a capacidade operacional, enquanto em aeroportos não congestionados, serve como um parâmetro da demanda existente.</w:t>
      </w:r>
    </w:p>
    <w:p>
      <w:pPr>
        <w:pStyle w:val="Corpodetexto"/>
      </w:pPr>
      <w:r>
        <w:t xml:space="preserve">Vale destacar que os movimentos de helicópteros são excluídos desse cálculo.</w:t>
      </w:r>
    </w:p>
    <w:p>
      <w:pPr>
        <w:pStyle w:val="Corpodetexto"/>
      </w:pPr>
      <w:r>
        <w:drawing>
          <wp:inline>
            <wp:extent cx="6642100" cy="2878243"/>
            <wp:effectExtent b="0" l="0" r="0" t="0"/>
            <wp:docPr descr="" title="" id="356" name="Picture"/>
            <a:graphic>
              <a:graphicData uri="http://schemas.openxmlformats.org/drawingml/2006/picture">
                <pic:pic>
                  <pic:nvPicPr>
                    <pic:cNvPr descr="03-Indicadores_files/figure-docx/unnamed-chunk-11-1.png" id="357" name="Picture"/>
                    <pic:cNvPicPr>
                      <a:picLocks noChangeArrowheads="1" noChangeAspect="1"/>
                    </pic:cNvPicPr>
                  </pic:nvPicPr>
                  <pic:blipFill>
                    <a:blip r:embed="rId355"/>
                    <a:stretch>
                      <a:fillRect/>
                    </a:stretch>
                  </pic:blipFill>
                  <pic:spPr bwMode="auto">
                    <a:xfrm>
                      <a:off x="0" y="0"/>
                      <a:ext cx="6642100" cy="2878243"/>
                    </a:xfrm>
                    <a:prstGeom prst="rect">
                      <a:avLst/>
                    </a:prstGeom>
                    <a:noFill/>
                    <a:ln w="9525">
                      <a:noFill/>
                      <a:headEnd/>
                      <a:tailEnd/>
                    </a:ln>
                  </pic:spPr>
                </pic:pic>
              </a:graphicData>
            </a:graphic>
          </wp:inline>
        </w:drawing>
      </w:r>
    </w:p>
    <w:tbl>
      <w:tblPr>
        <w:tblStyle w:val="Table"/>
        <w:tblW w:type="pct" w:w="5000"/>
        <w:tblLayout w:type="fixed"/>
        <w:tblLook w:firstRow="0" w:lastRow="0" w:firstColumn="0" w:lastColumn="0" w:noHBand="0" w:noVBand="0" w:val="0000"/>
      </w:tblPr>
      <w:tblGrid>
        <w:gridCol w:w="7920"/>
      </w:tblGrid>
      <w:tr>
        <w:tc>
          <w:tcPr/>
          <w:bookmarkStart w:id="361" w:name="fig-kpi-10"/>
          <w:p>
            <w:pPr>
              <w:pStyle w:val="Compact"/>
              <w:jc w:val="center"/>
            </w:pPr>
            <w:r>
              <w:drawing>
                <wp:inline>
                  <wp:extent cx="6642100" cy="2878243"/>
                  <wp:effectExtent b="0" l="0" r="0" t="0"/>
                  <wp:docPr descr="" title="" id="359" name="Picture"/>
                  <a:graphic>
                    <a:graphicData uri="http://schemas.openxmlformats.org/drawingml/2006/picture">
                      <pic:pic>
                        <pic:nvPicPr>
                          <pic:cNvPr descr="03-Indicadores_files/figure-docx/fig-kpi-10-1.png" id="360" name="Picture"/>
                          <pic:cNvPicPr>
                            <a:picLocks noChangeArrowheads="1" noChangeAspect="1"/>
                          </pic:cNvPicPr>
                        </pic:nvPicPr>
                        <pic:blipFill>
                          <a:blip r:embed="rId358"/>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3.30: KPI 10 - Taxa Pico de Chegada no Aeroporto</w:t>
            </w:r>
          </w:p>
          <w:bookmarkEnd w:id="361"/>
        </w:tc>
      </w:tr>
    </w:tbl>
    <w:p>
      <w:pPr>
        <w:pStyle w:val="Corpodetexto"/>
      </w:pPr>
      <w:r>
        <w:t xml:space="preserve">De acordo com a</w:t>
      </w:r>
      <w:r>
        <w:t xml:space="preserve"> </w:t>
      </w:r>
      <w:hyperlink w:anchor="fig-kpi-10">
        <w:r>
          <w:rPr>
            <w:rStyle w:val="Hyperlink"/>
          </w:rPr>
          <w:t xml:space="preserve">Figura 3.30</w:t>
        </w:r>
      </w:hyperlink>
      <w:r>
        <w:t xml:space="preserve">, os aeroportos de Brasília (SBBR), Guarulhos (SBGR) e Congonhas (SBSP) permanecem em destaque, com os maiores índices de taxa-pico para decolagem e pouso. Sendo Brasília (SBBR) e Guarulhos (SBGR) os aeroportos com maiores taxa-pico apresentada em 2025, no caso de Guarulhos inclusive aproximando-se da capacidade declarada de chegada. Esses dois aeroportos apresentam as mesmas taxas pico de pouso, porém Brasília possui 40% a mais de capacidade.</w:t>
      </w:r>
    </w:p>
    <w:p>
      <w:pPr>
        <w:pStyle w:val="Corpodetexto"/>
      </w:pPr>
      <w:r>
        <w:t xml:space="preserve">No aeroporto de Brasília (SBBR), houve um incremento de 28% na taxa-pico de chegada, isso pode ser explicado pelo aumento na demanda de tráfegos e pela implementação das decolagens paralelas simultâneas (DPSI) a contar de abril de 2025, fato que resultou em mais fluidez para os tráfegos de partidas e, consequentemente, de chegada também.</w:t>
      </w:r>
    </w:p>
    <w:p>
      <w:pPr>
        <w:pStyle w:val="Corpodetexto"/>
      </w:pPr>
      <w:r>
        <w:t xml:space="preserve">Foram observados reduções nas taxa-pico de Chegada dos Aeroportos de Recife (SBRF), Porto Velho (SBPV) e Congonhas (SBSP). Congonhas em especial pode ser explicado pela redução de movimentos da aviação Geral, impactando no total. Em contrapartida foram observados incrementos nas taxa-pico dos Aeroportos de Salvados (SBSV), Eduardo Gomes (SBEG), Galeão (SBGL), Guarulhos (SBGR) Campinas (SBRJ) e Santos Dumont (SBRJ). Guarulhos em especial pode ser explicado pelo aumento da demanda de chegada totalizando 8141 pousos a mais comparado ao ano anterior.</w:t>
      </w:r>
    </w:p>
    <w:tbl>
      <w:tblPr>
        <w:tblStyle w:val="Table"/>
        <w:tblW w:type="pct" w:w="5000"/>
        <w:tblLayout w:type="fixed"/>
        <w:tblLook w:firstRow="0" w:lastRow="0" w:firstColumn="0" w:lastColumn="0" w:noHBand="0" w:noVBand="0" w:val="0000"/>
      </w:tblPr>
      <w:tblGrid>
        <w:gridCol w:w="7920"/>
      </w:tblGrid>
      <w:tr>
        <w:tc>
          <w:tcPr/>
          <w:bookmarkStart w:id="365" w:name="fig-kpi09-kpi10"/>
          <w:p>
            <w:pPr>
              <w:pStyle w:val="Compact"/>
              <w:jc w:val="center"/>
            </w:pPr>
            <w:r>
              <w:drawing>
                <wp:inline>
                  <wp:extent cx="6642100" cy="2878243"/>
                  <wp:effectExtent b="0" l="0" r="0" t="0"/>
                  <wp:docPr descr="" title="" id="363" name="Picture"/>
                  <a:graphic>
                    <a:graphicData uri="http://schemas.openxmlformats.org/drawingml/2006/picture">
                      <pic:pic>
                        <pic:nvPicPr>
                          <pic:cNvPr descr="03-Indicadores_files/figure-docx/fig-kpi09-kpi10-1.png" id="364" name="Picture"/>
                          <pic:cNvPicPr>
                            <a:picLocks noChangeArrowheads="1" noChangeAspect="1"/>
                          </pic:cNvPicPr>
                        </pic:nvPicPr>
                        <pic:blipFill>
                          <a:blip r:embed="rId362"/>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3.31: KPI 09 - Capacidade de Chegada no Aeroporto x KPI 10 - Taxa Pico de Chegada</w:t>
            </w:r>
          </w:p>
          <w:bookmarkEnd w:id="365"/>
        </w:tc>
      </w:tr>
    </w:tbl>
    <w:bookmarkEnd w:id="366"/>
    <w:bookmarkStart w:id="383" w:name="medidas-atfm"/>
    <w:p>
      <w:pPr>
        <w:pStyle w:val="Ttulo3"/>
      </w:pPr>
      <w:r>
        <w:t xml:space="preserve">3.3.4 MEDIDAS ATFM</w:t>
      </w:r>
    </w:p>
    <w:p>
      <w:pPr>
        <w:pStyle w:val="FirstParagraph"/>
      </w:pPr>
      <w:r>
        <w:t xml:space="preserve">O Gerenciamento de Fluxo de Tráfego Aéreo (ATFM -</w:t>
      </w:r>
      <w:r>
        <w:t xml:space="preserve"> </w:t>
      </w:r>
      <w:r>
        <w:rPr>
          <w:i/>
          <w:iCs/>
        </w:rPr>
        <w:t xml:space="preserve">Air Traffic Flow Management</w:t>
      </w:r>
      <w:r>
        <w:t xml:space="preserve">) desempenha um papel fundamental na garantia de um fluxo de tráfego aéreo seguro, ordenado e eficiente. Seu principal objetivo é assegurar que a capacidade do controle de tráfego aéreo (ATC) seja utilizada da forma mais eficiente possível e que a demanda permaneça adequada às capacidades declaradas pela autoridade competente.</w:t>
      </w:r>
    </w:p>
    <w:p>
      <w:pPr>
        <w:pStyle w:val="Corpodetexto"/>
      </w:pPr>
      <w:r>
        <w:t xml:space="preserve">As medidas ATFM são técnicas utilizadas para gerenciar a demanda de tráfego aéreo de acordo com a capacidade do sistema, bem como para otimizar o fluxo de aeronaves nas rotas aéreas e nos aeroportos. Elas podem ser aplicadas para solucionar, de forma preventiva, a ocorrência de saturação e congestionamento de setores de controle do espaço aéreo, mitigando atrasos, evitando sobrecarga nos setores de controle e preservando a segurança, eficiência e regularidade das operações aéreas.</w:t>
      </w:r>
    </w:p>
    <w:p>
      <w:pPr>
        <w:pStyle w:val="Corpodetexto"/>
      </w:pPr>
      <w:r>
        <w:t xml:space="preserve">No Brasil, o ATFM é prestado de maneira centralizada pelo Centro de Gerenciamento da Navegação Aérea (CGNA), apoiado pelas Células de Gerenciamento de Fluxo (FMC) estabelecidas nos Centros de Controle de Área (ACC) Amazônico, Brasília, Curitiba e Recife, além dos Controles de Aproximação (APP) de São Paulo e Rio de Janeiro.</w:t>
      </w:r>
    </w:p>
    <w:p>
      <w:pPr>
        <w:pStyle w:val="Corpodetexto"/>
      </w:pPr>
      <w:r>
        <w:t xml:space="preserve">O CGNA atua de forma integrada com as companhias aéreas, administradoras aeroportuárias e demais membros da Comunidade ATM. Esse trabalho colaborativo permite otimizar o uso das capacidades disponíveis, minimizar os impactos de restrições à demanda e responder de maneira ágil a eventuais degradações nos sistemas de navegação aérea e na infraestrutura aeroportuária, preservando a fluidez e previsibilidade do tráfego aéreo.</w:t>
      </w:r>
    </w:p>
    <w:p>
      <w:pPr>
        <w:pStyle w:val="Corpodetexto"/>
      </w:pPr>
      <w:r>
        <w:t xml:space="preserve">A</w:t>
      </w:r>
      <w:r>
        <w:t xml:space="preserve"> </w:t>
      </w:r>
      <w:hyperlink w:anchor="fig-medidas-atfm-por-ano">
        <w:r>
          <w:rPr>
            <w:rStyle w:val="Hyperlink"/>
          </w:rPr>
          <w:t xml:space="preserve">Figura 3.32</w:t>
        </w:r>
      </w:hyperlink>
      <w:r>
        <w:t xml:space="preserve"> </w:t>
      </w:r>
      <w:r>
        <w:t xml:space="preserve">apresenta a demanda de tráfego aéreo e a quantidade de medidas ATFM aplicadas no Brasil de 2018 a 2025:</w:t>
      </w:r>
    </w:p>
    <w:tbl>
      <w:tblPr>
        <w:tblStyle w:val="Table"/>
        <w:tblW w:type="pct" w:w="5000"/>
        <w:tblLayout w:type="fixed"/>
        <w:tblLook w:firstRow="0" w:lastRow="0" w:firstColumn="0" w:lastColumn="0" w:noHBand="0" w:noVBand="0" w:val="0000"/>
      </w:tblPr>
      <w:tblGrid>
        <w:gridCol w:w="7920"/>
      </w:tblGrid>
      <w:tr>
        <w:tc>
          <w:tcPr/>
          <w:bookmarkStart w:id="370" w:name="fig-medidas-atfm-por-ano"/>
          <w:p>
            <w:pPr>
              <w:pStyle w:val="Compact"/>
              <w:jc w:val="center"/>
            </w:pPr>
            <w:r>
              <w:drawing>
                <wp:inline>
                  <wp:extent cx="6642100" cy="2878243"/>
                  <wp:effectExtent b="0" l="0" r="0" t="0"/>
                  <wp:docPr descr="" title="" id="368" name="Picture"/>
                  <a:graphic>
                    <a:graphicData uri="http://schemas.openxmlformats.org/drawingml/2006/picture">
                      <pic:pic>
                        <pic:nvPicPr>
                          <pic:cNvPr descr="03-Indicadores_files/figure-docx/fig-medidas-atfm-por-ano-1.png" id="369" name="Picture"/>
                          <pic:cNvPicPr>
                            <a:picLocks noChangeArrowheads="1" noChangeAspect="1"/>
                          </pic:cNvPicPr>
                        </pic:nvPicPr>
                        <pic:blipFill>
                          <a:blip r:embed="rId367"/>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3.32: Demanda de Tráfego Aéreo</w:t>
            </w:r>
            <w:r>
              <w:t xml:space="preserve"> </w:t>
            </w:r>
            <w:r>
              <w:rPr>
                <w:i/>
                <w:iCs/>
              </w:rPr>
              <w:t xml:space="preserve">versus</w:t>
            </w:r>
            <w:r>
              <w:t xml:space="preserve"> </w:t>
            </w:r>
            <w:r>
              <w:t xml:space="preserve">Quantidade de Medidas ATFM</w:t>
            </w:r>
          </w:p>
          <w:bookmarkEnd w:id="370"/>
        </w:tc>
      </w:tr>
    </w:tbl>
    <w:p>
      <w:pPr>
        <w:pStyle w:val="Corpodetexto"/>
      </w:pPr>
      <w:r>
        <w:t xml:space="preserve">Em 2025, o número de medidas ATFM aplicadas aumentou 9,3% na comparação com 2024, superando a variação observada entre 2023 e 2024 (3,5%). O aumento na quantidade de medidas aplicadas pode ser explicado, em alguns casos, pelo aumento da demanda – que pode sobrecarregar o sistema em cenários específicos. No entanto, podemos observar que de 2023 para 2024 a demanda apresentou variação maior do que a quantidade de medidas aplicadas e que essa relação se inverteu de 2024 para 2025. Assim, é necessário avaliar outros aspectos para compreender o que contribuiu para esses resultados.</w:t>
      </w:r>
    </w:p>
    <w:p>
      <w:pPr>
        <w:pStyle w:val="Corpodetexto"/>
      </w:pPr>
      <w:r>
        <w:t xml:space="preserve">A</w:t>
      </w:r>
      <w:r>
        <w:t xml:space="preserve"> </w:t>
      </w:r>
      <w:hyperlink w:anchor="fig-medidas-atfm-ano-relatorio">
        <w:r>
          <w:rPr>
            <w:rStyle w:val="Hyperlink"/>
          </w:rPr>
          <w:t xml:space="preserve">Figura 3.33</w:t>
        </w:r>
      </w:hyperlink>
      <w:r>
        <w:t xml:space="preserve"> </w:t>
      </w:r>
      <w:r>
        <w:t xml:space="preserve">mostra a evolução mensal das métricas de Movimentos e Medidas ATFM, ao longo de 2025:</w:t>
      </w:r>
    </w:p>
    <w:tbl>
      <w:tblPr>
        <w:tblStyle w:val="Table"/>
        <w:tblW w:type="pct" w:w="5000"/>
        <w:tblLayout w:type="fixed"/>
        <w:tblLook w:firstRow="0" w:lastRow="0" w:firstColumn="0" w:lastColumn="0" w:noHBand="0" w:noVBand="0" w:val="0000"/>
      </w:tblPr>
      <w:tblGrid>
        <w:gridCol w:w="7920"/>
      </w:tblGrid>
      <w:tr>
        <w:tc>
          <w:tcPr/>
          <w:bookmarkStart w:id="374" w:name="fig-medidas-atfm-ano-relatorio"/>
          <w:p>
            <w:pPr>
              <w:pStyle w:val="Compact"/>
              <w:jc w:val="center"/>
            </w:pPr>
            <w:r>
              <w:drawing>
                <wp:inline>
                  <wp:extent cx="6642100" cy="2878243"/>
                  <wp:effectExtent b="0" l="0" r="0" t="0"/>
                  <wp:docPr descr="" title="" id="372" name="Picture"/>
                  <a:graphic>
                    <a:graphicData uri="http://schemas.openxmlformats.org/drawingml/2006/picture">
                      <pic:pic>
                        <pic:nvPicPr>
                          <pic:cNvPr descr="03-Indicadores_files/figure-docx/fig-medidas-atfm-ano-relatorio-1.png" id="373" name="Picture"/>
                          <pic:cNvPicPr>
                            <a:picLocks noChangeArrowheads="1" noChangeAspect="1"/>
                          </pic:cNvPicPr>
                        </pic:nvPicPr>
                        <pic:blipFill>
                          <a:blip r:embed="rId371"/>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3.33: Movimentos por Medidas ATFM</w:t>
            </w:r>
          </w:p>
          <w:bookmarkEnd w:id="374"/>
        </w:tc>
      </w:tr>
    </w:tbl>
    <w:p>
      <w:pPr>
        <w:pStyle w:val="Corpodetexto"/>
      </w:pPr>
      <w:r>
        <w:t xml:space="preserve">Nota-se uma redução do número de Medidas ATFM ao final do primeiro semestre, tendo sido registradas 250 em janeiro e 139 em junho. No entanto, houve um movimento inverso no segundo semestre: foram registradas 164 medidas em agosto e essa quantidade de medidas aplicadas foi aumentando até que chegou a 466 no mês de dezembro.</w:t>
      </w:r>
    </w:p>
    <w:p>
      <w:pPr>
        <w:pStyle w:val="Corpodetexto"/>
      </w:pPr>
      <w:r>
        <w:t xml:space="preserve">O volume de movimentos, como de praxe, apresentou variações ao longo do ano. O pico ocorreu no mês de agosto (254.453), enquanto o menor movimento, excluído o mês de fevereiro (mais curto), foi verificado em abril (238.063). Comparando esses resultados, é possível constatar que a quantidade de medidas ATFM aplicadas nem sempre acompanha diretamente o volume de tráfego. Outros motivos como restrições de infraestrutura ou reduções temporárias de capacidade em função de meteorologia adversa também podem impor a necessidade de aplicação de medidas ATFM.</w:t>
      </w:r>
    </w:p>
    <w:p>
      <w:pPr>
        <w:pStyle w:val="Corpodetexto"/>
      </w:pPr>
      <w:r>
        <w:t xml:space="preserve">Na</w:t>
      </w:r>
      <w:r>
        <w:t xml:space="preserve"> </w:t>
      </w:r>
      <w:hyperlink w:anchor="fig-medidas-atfm-tipo">
        <w:r>
          <w:rPr>
            <w:rStyle w:val="Hyperlink"/>
          </w:rPr>
          <w:t xml:space="preserve">Figura 3.34</w:t>
        </w:r>
      </w:hyperlink>
      <w:r>
        <w:t xml:space="preserve">, é possível comparar as principais causas que levaram à aplicação de medidas ATFM nos anos de 2023, 2024 e 2025:</w:t>
      </w:r>
    </w:p>
    <w:tbl>
      <w:tblPr>
        <w:tblStyle w:val="Table"/>
        <w:tblW w:type="pct" w:w="5000"/>
        <w:tblLayout w:type="fixed"/>
        <w:tblLook w:firstRow="0" w:lastRow="0" w:firstColumn="0" w:lastColumn="0" w:noHBand="0" w:noVBand="0" w:val="0000"/>
      </w:tblPr>
      <w:tblGrid>
        <w:gridCol w:w="7920"/>
      </w:tblGrid>
      <w:tr>
        <w:tc>
          <w:tcPr/>
          <w:bookmarkStart w:id="378" w:name="fig-medidas-atfm-tipo"/>
          <w:p>
            <w:pPr>
              <w:pStyle w:val="Compact"/>
              <w:jc w:val="center"/>
            </w:pPr>
            <w:r>
              <w:drawing>
                <wp:inline>
                  <wp:extent cx="6642100" cy="2878243"/>
                  <wp:effectExtent b="0" l="0" r="0" t="0"/>
                  <wp:docPr descr="" title="" id="376" name="Picture"/>
                  <a:graphic>
                    <a:graphicData uri="http://schemas.openxmlformats.org/drawingml/2006/picture">
                      <pic:pic>
                        <pic:nvPicPr>
                          <pic:cNvPr descr="03-Indicadores_files/figure-docx/fig-medidas-atfm-tipo-1.png" id="377" name="Picture"/>
                          <pic:cNvPicPr>
                            <a:picLocks noChangeArrowheads="1" noChangeAspect="1"/>
                          </pic:cNvPicPr>
                        </pic:nvPicPr>
                        <pic:blipFill>
                          <a:blip r:embed="rId375"/>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3.34: Principais Causas de Medidas</w:t>
            </w:r>
          </w:p>
          <w:bookmarkEnd w:id="378"/>
        </w:tc>
      </w:tr>
    </w:tbl>
    <w:p>
      <w:pPr>
        <w:pStyle w:val="Corpodetexto"/>
      </w:pPr>
      <w:r>
        <w:t xml:space="preserve">As medidas aplicadas em função de meteorologia apresentaram crescimento de aproximadamente 31% entre 2024 (953) e 2025 (1246), evidenciando movimento inverso ao das medidas aplicadas em função da demanda, que apresentou redução. Um dos eventos meteorológicos que contribuíram para esse crescimento foi o ciclone registrado em dezembro de 2025, que atingiu seu ápice, em termos de impactos na operação, no dia 10, mas teve efeitos desde o dia 7 até o dia 13.</w:t>
      </w:r>
    </w:p>
    <w:p>
      <w:pPr>
        <w:pStyle w:val="Corpodetexto"/>
      </w:pPr>
      <w:r>
        <w:t xml:space="preserve">Apesar de o quesito demanda ter permanecido como fator que mais motivou a aplicação de medidas ATFM nos últimos 3 anos, vale ressaltar que foi registrada redução em 2025 na comparação com 2024 e 2023, mesmo com o crescimento dos movimentos aéreos. Assim, verificou-se uma redução também na diferença entre a quantidade de medidas por demanda e por meteorologia, que representaram, respectivamente, 42,8% e 40,6% das medidas aplicadas.</w:t>
      </w:r>
    </w:p>
    <w:p>
      <w:pPr>
        <w:pStyle w:val="Corpodetexto"/>
      </w:pPr>
      <w:r>
        <w:t xml:space="preserve">Reduções de capacidade relacionadas a algum tipo de degradação (inoperância de equipamento ou sistema) também exigiram a aplicação de medidas ATFM. Em 2025, essas reduções quase triplicaram se comparadas aos dois anos anteriores: foram 70 medidas em 2023, 78 em 2024 e 228 em 2025. Destas últimas, quase metade (109) foi aplicada no mês de março para garantir a fluidez do tráfego ante a necessidade de aumento da separação entre os voos que tinham como destino o Aeroporto Guarulhos (SBGR) – circunstância motivada por uma inoperância de equipamento (radar).</w:t>
      </w:r>
    </w:p>
    <w:p>
      <w:pPr>
        <w:pStyle w:val="Corpodetexto"/>
      </w:pPr>
      <w:r>
        <w:t xml:space="preserve">Limitações de infraestrutura também impuseram a necessidade de aplicação de medidas ATFM. Durante o mês de novembro ocorreu uma obra em SBGR que interrompia a operação na pista 10L/28R desde 20:00, hora local. A operação em apenas uma pista requer separação maior na aproximação final para que sejam viabilizadas as decolagens. Assim, ao longo do mês de novembro foram aplicadas medidas ATFM para garantir um fluxo ótimo na operação do aeroporto.</w:t>
      </w:r>
    </w:p>
    <w:p>
      <w:pPr>
        <w:pStyle w:val="Corpodetexto"/>
      </w:pPr>
      <w:r>
        <w:t xml:space="preserve">Houve, ainda, um aspecto da operação que continuou motivando a aplicação de medidas ATFM: a operação realizada fora do horário programado. Conforme abordado no item 3.1.2 deste relatório, as chegadas com adiantamento superior a 15 minutos totalizaram 25% no Aeroporto de Guarulhos em 2025. Essa é uma característica do cenário brasileiro que vem se acentuando, sobretudo por questões jurídicas – tema abordado por mais de um palestrante no Seminário de Performance ATM 2025, realizado em São Paulo.</w:t>
      </w:r>
    </w:p>
    <w:p>
      <w:pPr>
        <w:pStyle w:val="Corpodetexto"/>
      </w:pPr>
      <w:r>
        <w:t xml:space="preserve">Diante dos cenários apresentados (e de outros que se apresentem), uma série de medidas ATFM pode ser utilizada, de maneira isolada ou combinada, para uma gestão adequada do fluxo de tráfego aéreo. A</w:t>
      </w:r>
      <w:r>
        <w:t xml:space="preserve"> </w:t>
      </w:r>
      <w:hyperlink w:anchor="fig-medidas-atfm-tipo-pizza">
        <w:r>
          <w:rPr>
            <w:rStyle w:val="Hyperlink"/>
          </w:rPr>
          <w:t xml:space="preserve">Figura 3.35</w:t>
        </w:r>
      </w:hyperlink>
      <w:r>
        <w:t xml:space="preserve"> </w:t>
      </w:r>
      <w:r>
        <w:t xml:space="preserve">apresenta, a seguir, quais medidas ATFM foram aplicadas no Brasil durante o ano de 2025:</w:t>
      </w:r>
    </w:p>
    <w:tbl>
      <w:tblPr>
        <w:tblStyle w:val="Table"/>
        <w:tblW w:type="pct" w:w="5000"/>
        <w:tblLayout w:type="fixed"/>
        <w:tblLook w:firstRow="0" w:lastRow="0" w:firstColumn="0" w:lastColumn="0" w:noHBand="0" w:noVBand="0" w:val="0000"/>
      </w:tblPr>
      <w:tblGrid>
        <w:gridCol w:w="7920"/>
      </w:tblGrid>
      <w:tr>
        <w:tc>
          <w:tcPr/>
          <w:bookmarkStart w:id="382" w:name="fig-medidas-atfm-tipo-pizza"/>
          <w:p>
            <w:pPr>
              <w:pStyle w:val="Compact"/>
              <w:jc w:val="center"/>
            </w:pPr>
            <w:r>
              <w:drawing>
                <wp:inline>
                  <wp:extent cx="6642100" cy="2878243"/>
                  <wp:effectExtent b="0" l="0" r="0" t="0"/>
                  <wp:docPr descr="" title="" id="380" name="Picture"/>
                  <a:graphic>
                    <a:graphicData uri="http://schemas.openxmlformats.org/drawingml/2006/picture">
                      <pic:pic>
                        <pic:nvPicPr>
                          <pic:cNvPr descr="03-Indicadores_files/figure-docx/fig-medidas-atfm-tipo-pizza-1.png" id="381" name="Picture"/>
                          <pic:cNvPicPr>
                            <a:picLocks noChangeArrowheads="1" noChangeAspect="1"/>
                          </pic:cNvPicPr>
                        </pic:nvPicPr>
                        <pic:blipFill>
                          <a:blip r:embed="rId379"/>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3.35: Quantidade de Medidas ATFM por Tipo</w:t>
            </w:r>
          </w:p>
          <w:bookmarkEnd w:id="382"/>
        </w:tc>
      </w:tr>
    </w:tbl>
    <w:p>
      <w:pPr>
        <w:pStyle w:val="Corpodetexto"/>
      </w:pPr>
      <w:r>
        <w:t xml:space="preserve">O predomínio da Separação por milhas (MIT), que totalizou 83% das medidas aplicadas, evidencia que esse tipo de medida é a mais utilizada no cenário brasileiro. As MIT são consideradas de menor impacto e atendem melhor a necessidade dos usuários, que preferem manter os índices de pontualidade de partida elevados.</w:t>
      </w:r>
    </w:p>
    <w:p>
      <w:pPr>
        <w:pStyle w:val="Corpodetexto"/>
      </w:pPr>
      <w:r>
        <w:t xml:space="preserve">A segunda medida mais aplicada no cenário nacional foi o rerroteamento (</w:t>
      </w:r>
      <w:r>
        <w:rPr>
          <w:i/>
          <w:iCs/>
        </w:rPr>
        <w:t xml:space="preserve">routing</w:t>
      </w:r>
      <w:r>
        <w:t xml:space="preserve">), que representou 5,6% do total. Por ser uma medida que envolve a utilização de rota diferente daquela que foi solicitada no plano de voo pelos usuários do espaço aéreo, o rerroteamento é aplicado para, entre outros motivos, assegurar a fluidez do tráfego, mitigar congestionamentos e, principalmente, evitar áreas com formações meteorológicas severas.</w:t>
      </w:r>
    </w:p>
    <w:p>
      <w:pPr>
        <w:pStyle w:val="Corpodetexto"/>
      </w:pPr>
      <w:r>
        <w:t xml:space="preserve">O uso de Parada no solo (</w:t>
      </w:r>
      <w:r>
        <w:rPr>
          <w:i/>
          <w:iCs/>
        </w:rPr>
        <w:t xml:space="preserve">Ground Stop – GS</w:t>
      </w:r>
      <w:r>
        <w:t xml:space="preserve">), terceira medida mais aplicada (4,6%) em 2025, indica que, em algumas ocasiões, situações de congestionamento ou saturação exigiram a suspensão temporária de partidas. Esse tipo de medida é mais comum em cenários de degradação meteorológica que, por exemplo, inviabilizam as operações de um aeroporto num momento em que há elevado fluxo de tráfego para aquele destino. Assim, os setores por onde passa esse fluxo experimentam uma condição de iminente saturação, exigindo que os gerentes de fluxo se utilizem de uma medida mais restritiva.</w:t>
      </w:r>
    </w:p>
    <w:p>
      <w:pPr>
        <w:pStyle w:val="Corpodetexto"/>
      </w:pPr>
      <w:r>
        <w:t xml:space="preserve">A gestão eficiente de demanda e capacidade assume importância cada vez maior num cenário em que os movimentos aéreos apresentam um crescimento contínuo e fatores como eventos meteorológicos extremos impactam as operações com maior frequência. Em 2025, os indicadores analisados reforçaram alguns desafios, como a necessidade de melhorar a previsibilidade e de ampliação da utilização de medidas para minimizar impactos de restrições operacionais.</w:t>
      </w:r>
    </w:p>
    <w:bookmarkEnd w:id="383"/>
    <w:bookmarkEnd w:id="384"/>
    <w:bookmarkStart w:id="414" w:name="custo-benefício"/>
    <w:p>
      <w:pPr>
        <w:pStyle w:val="Ttulo2"/>
      </w:pPr>
      <w:r>
        <w:t xml:space="preserve">3.4 CUSTO-BENEFÍCIO</w:t>
      </w:r>
    </w:p>
    <w:p>
      <w:pPr>
        <w:pStyle w:val="FirstParagraph"/>
      </w:pPr>
      <w:r>
        <w:t xml:space="preserve">A KPA Custo-Benefício refere-se à rentabilidade do PSNA e ao equilíbrio dos diversos interesses da Comunidade ATM. O custo deve ser sempre considerado quando se avalia propostas para melhorar a qualidade ou a performance do serviço ATM. Dentro desta área de performance, são monitorados o indicador de Horas de</w:t>
      </w:r>
      <w:r>
        <w:t xml:space="preserve"> </w:t>
      </w:r>
      <w:r>
        <w:rPr>
          <w:i/>
          <w:iCs/>
        </w:rPr>
        <w:t xml:space="preserve">Login</w:t>
      </w:r>
      <w:r>
        <w:t xml:space="preserve"> </w:t>
      </w:r>
      <w:r>
        <w:t xml:space="preserve">x Horas ATCO (IDBR06) e o indicador de Índice de Operacionalidade (IDBR 08).</w:t>
      </w:r>
    </w:p>
    <w:bookmarkStart w:id="397" w:name="idbr-06---horas-de-login-x-horas-atco"/>
    <w:p>
      <w:pPr>
        <w:pStyle w:val="Ttulo3"/>
      </w:pPr>
      <w:r>
        <w:t xml:space="preserve">3.4.1 IDBR 06 - HORAS DE</w:t>
      </w:r>
      <w:r>
        <w:t xml:space="preserve"> </w:t>
      </w:r>
      <w:r>
        <w:rPr>
          <w:i/>
          <w:iCs/>
        </w:rPr>
        <w:t xml:space="preserve">LOGIN</w:t>
      </w:r>
      <w:r>
        <w:t xml:space="preserve"> </w:t>
      </w:r>
      <w:r>
        <w:t xml:space="preserve">X HORAS ATCO</w:t>
      </w:r>
    </w:p>
    <w:p>
      <w:pPr>
        <w:pStyle w:val="FirstParagraph"/>
      </w:pPr>
      <w:r>
        <w:t xml:space="preserve">Este indicador busca desenvolver um mecanismo para aferir a relação entre horas de tempo logado do ATCO por tempo de escala operacional, apontando a percentagem de hora de</w:t>
      </w:r>
      <w:r>
        <w:t xml:space="preserve"> </w:t>
      </w:r>
      <w:r>
        <w:rPr>
          <w:i/>
          <w:iCs/>
        </w:rPr>
        <w:t xml:space="preserve">login</w:t>
      </w:r>
      <w:r>
        <w:t xml:space="preserve"> </w:t>
      </w:r>
      <w:r>
        <w:t xml:space="preserve">dos ATCO do mesmo Órgão. Contudo, não considera a dinâmica operacional (cenário das posições operacionais), a complexidade ATC (inoperâncias e condições meteorológicas), a quantidade de movimentos (demanda) ou outras atividades estipuladas para os ATCO realizarem durante os turnos (PIMO, aulas de inglês, atividades administrativas, cursos on-line, etc.).</w:t>
      </w:r>
    </w:p>
    <w:p>
      <w:pPr>
        <w:pStyle w:val="Corpodetexto"/>
      </w:pPr>
      <w:r>
        <w:t xml:space="preserve">Desta forma, é apresentada a relação entre a soma de horas logadas (HL), que é a quantidade de tempo, em horas, que um ATCO esteve guarnecendo uma posição operacional, e a hora escalada (HE), que é a soma das horas de escala cumprida, excetuando o tempo de briefing operacional.</w:t>
      </w:r>
    </w:p>
    <w:p>
      <w:pPr>
        <w:pStyle w:val="Corpodetexto"/>
      </w:pPr>
      <w:r>
        <w:t xml:space="preserve">Foram analisados os dados de 28 órgãos operacionais: cinco ACC, doze APP e onze TWR com o objetivo de possibilitar o aprimoramento do emprego dos recursos humanos, a partir dos valores obtidos dos órgãos de controle.</w:t>
      </w:r>
    </w:p>
    <w:p>
      <w:pPr>
        <w:pStyle w:val="Corpodetexto"/>
      </w:pPr>
      <w:r>
        <w:rPr>
          <w:b/>
          <w:bCs/>
        </w:rPr>
        <w:t xml:space="preserve">NOTA</w:t>
      </w:r>
      <w:r>
        <w:t xml:space="preserve">: Em função das recomendações da ICA 63-33 -HORÁRIO DE TRABALHO DO PESSOAL ATC, COM, MET, AIS, SAR E OPM- de acordo com a classe do órgão ATC, está previsto um intervalo de descanso de 30 minutos a cada duas ou três horas de trabalho operacional. Desta forma, atingir um índice de 100% neste indicador contraria o regulamento. A metodologia atual de cálculo não desconta esse período de descanso, o que faz com que o rendimento máximo aceitável do IDBR 06 oscile entre 75% e 85%.</w:t>
      </w:r>
    </w:p>
    <w:p>
      <w:pPr>
        <w:pStyle w:val="Corpodetexto"/>
      </w:pPr>
      <w:r>
        <w:t xml:space="preserve">As informações para esse cálculo são extraídas dos registros de</w:t>
      </w:r>
      <w:r>
        <w:t xml:space="preserve"> </w:t>
      </w:r>
      <w:r>
        <w:rPr>
          <w:i/>
          <w:iCs/>
        </w:rPr>
        <w:t xml:space="preserve">login</w:t>
      </w:r>
      <w:r>
        <w:t xml:space="preserve"> </w:t>
      </w:r>
      <w:r>
        <w:t xml:space="preserve">e</w:t>
      </w:r>
      <w:r>
        <w:t xml:space="preserve"> </w:t>
      </w:r>
      <w:r>
        <w:rPr>
          <w:i/>
          <w:iCs/>
        </w:rPr>
        <w:t xml:space="preserve">logoff</w:t>
      </w:r>
      <w:r>
        <w:t xml:space="preserve"> </w:t>
      </w:r>
      <w:r>
        <w:t xml:space="preserve">nos sistemas SAGITARIO ou TATIC, do Livro de Registro de Ocorrências (LRO), da escala efetivamente cumprida informada pelos próprios órgãos ATC e da planilha de distribuição dos controladores ao longo do turno, elaborada pelos supervisores.</w:t>
      </w:r>
    </w:p>
    <w:tbl>
      <w:tblPr>
        <w:tblStyle w:val="Table"/>
        <w:tblW w:type="pct" w:w="5000"/>
        <w:tblLayout w:type="fixed"/>
        <w:tblLook w:firstRow="0" w:lastRow="0" w:firstColumn="0" w:lastColumn="0" w:noHBand="0" w:noVBand="0" w:val="0000"/>
      </w:tblPr>
      <w:tblGrid>
        <w:gridCol w:w="7920"/>
      </w:tblGrid>
      <w:tr>
        <w:tc>
          <w:tcPr/>
          <w:bookmarkStart w:id="388" w:name="fig-idbr-06-acc"/>
          <w:p>
            <w:pPr>
              <w:pStyle w:val="Compact"/>
              <w:jc w:val="center"/>
            </w:pPr>
            <w:r>
              <w:drawing>
                <wp:inline>
                  <wp:extent cx="6642100" cy="2878243"/>
                  <wp:effectExtent b="0" l="0" r="0" t="0"/>
                  <wp:docPr descr="" title="" id="386" name="Picture"/>
                  <a:graphic>
                    <a:graphicData uri="http://schemas.openxmlformats.org/drawingml/2006/picture">
                      <pic:pic>
                        <pic:nvPicPr>
                          <pic:cNvPr descr="03-Indicadores_files/figure-docx/fig-idbr-06-acc-1.png" id="387" name="Picture"/>
                          <pic:cNvPicPr>
                            <a:picLocks noChangeArrowheads="1" noChangeAspect="1"/>
                          </pic:cNvPicPr>
                        </pic:nvPicPr>
                        <pic:blipFill>
                          <a:blip r:embed="rId385"/>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3.36: IDBR 06 - Relação Entre Horas de</w:t>
            </w:r>
            <w:r>
              <w:t xml:space="preserve"> </w:t>
            </w:r>
            <w:r>
              <w:rPr>
                <w:i/>
                <w:iCs/>
              </w:rPr>
              <w:t xml:space="preserve">Login</w:t>
            </w:r>
            <w:r>
              <w:t xml:space="preserve"> </w:t>
            </w:r>
            <w:r>
              <w:t xml:space="preserve">X Horas ATCO por ACC</w:t>
            </w:r>
          </w:p>
          <w:bookmarkEnd w:id="388"/>
        </w:tc>
      </w:tr>
    </w:tbl>
    <w:p>
      <w:pPr>
        <w:pStyle w:val="Corpodetexto"/>
      </w:pPr>
      <w:r>
        <w:t xml:space="preserve">A</w:t>
      </w:r>
      <w:r>
        <w:t xml:space="preserve"> </w:t>
      </w:r>
      <w:hyperlink w:anchor="fig-idbr-06-acc">
        <w:r>
          <w:rPr>
            <w:rStyle w:val="Hyperlink"/>
          </w:rPr>
          <w:t xml:space="preserve">Figura 3.36</w:t>
        </w:r>
      </w:hyperlink>
      <w:r>
        <w:t xml:space="preserve"> </w:t>
      </w:r>
      <w:r>
        <w:t xml:space="preserve">apresenta a evolução do IDBR 06 nos Centros de Controle de Área (ACC) ao longo dos anos de 2023, 2024 e 2025, evidenciando a relação entre as horas efetivamente logadas pelos ATCO e as horas previstas na escala operacional.</w:t>
      </w:r>
    </w:p>
    <w:p>
      <w:pPr>
        <w:pStyle w:val="Corpodetexto"/>
      </w:pPr>
      <w:r>
        <w:t xml:space="preserve">O ACC-AO (CINDACTA III) se destacou positivamente no período, apresentando crescimento de 46,9% em 2023 para 54,1% em 2025, apesar da ligeira redução de 2,0 pontos percentuais entre 2024 e 2025. Essa otimização pode estar relacionada a melhorias na distribuição da carga de trabalho do efetivo ou ajustes operacionais que permitiram maior permanência dos controladores nas posições operacionais.</w:t>
      </w:r>
    </w:p>
    <w:p>
      <w:pPr>
        <w:pStyle w:val="Corpodetexto"/>
      </w:pPr>
      <w:r>
        <w:t xml:space="preserve">Adicionalmente, o ACC-RE (CINDACTA III) apresentou a maior queda, passando de 62,6% em 2023 para 49,6% em 2024 e 47,3% em 2025 com uma variação negativa de 2,3 pontos percentuais comparada ao ano anterior. Isso pode ser explicado, pois a fonte de dados trouxe imprecisão para o resultado final, devido a baixa qualidade dos dados dos meses de janeiro a maio, a fonte de dados voltou a melhorar a qualidade a contar do mês de junho de 2025.</w:t>
      </w:r>
    </w:p>
    <w:p>
      <w:pPr>
        <w:pStyle w:val="Corpodetexto"/>
      </w:pPr>
      <w:r>
        <w:t xml:space="preserve">O ACC-BS (CINDACTA I) e ACC-AZ (CINDACTA IV) apresentaram um comportamento estável ao longo dos anos. O ACC-BS variou de 51,9% em 2023 para 49% em 2024, recuperando o índice para 50,0% em 2025, com uma variação negativa de 1,0 pontos percentuais se comparado ao ano anterior. O ACC-AZ também variou, passando de 37,4% em 2023 para 37,7% em 2024 e 38,6% em 2025, apresentando uma pequena variação positiva de 0,9pontos percentuais se comparada ao ano anterior.</w:t>
      </w:r>
    </w:p>
    <w:p>
      <w:pPr>
        <w:pStyle w:val="Corpodetexto"/>
      </w:pPr>
      <w:r>
        <w:t xml:space="preserve">O ACC-CW (CINDACTA II) apresentou uma tendência de queda nos últimos três anos, diminuindo de 54,7% em 2023 para 53,7% em 2024 e 52% em 2025, com uma variação negativa de 1,7 pontos percentuais entre 2024 e 2025.</w:t>
      </w:r>
    </w:p>
    <w:p>
      <w:pPr>
        <w:pStyle w:val="Corpodetexto"/>
      </w:pPr>
      <w:r>
        <w:t xml:space="preserve">Essa redução pode refletir uma diminuição no tempo efetivamente logado em relação à escala, possivelmente em decorrência de mudanças operacionais, como por exemplo a implementação do Sistema Saturno ou redistribuição do efetivo.</w:t>
      </w:r>
    </w:p>
    <w:p>
      <w:pPr>
        <w:pStyle w:val="Corpodetexto"/>
      </w:pPr>
      <w:r>
        <w:t xml:space="preserve">Os resultados indicam que, enquanto alguns ACC, como ACC-RE apresentou queda na relação entre horas de login e horas escaladas, outros, como ACC-BS, ACC-CW e ACC-AZ**, apresentaram índices mais estáveis, ao que tange a gestão de seus efetivos. A análise dessas variações deve considerar fatores como a redistribuição do efetivo, mudanças na escala, condições operacionais e demandas de tráfego que podem impactar o tempo efetivamente logado pelos ATCOs.</w:t>
      </w:r>
    </w:p>
    <w:tbl>
      <w:tblPr>
        <w:tblStyle w:val="Table"/>
        <w:tblW w:type="pct" w:w="5000"/>
        <w:tblLayout w:type="fixed"/>
        <w:tblLook w:firstRow="0" w:lastRow="0" w:firstColumn="0" w:lastColumn="0" w:noHBand="0" w:noVBand="0" w:val="0000"/>
      </w:tblPr>
      <w:tblGrid>
        <w:gridCol w:w="7920"/>
      </w:tblGrid>
      <w:tr>
        <w:tc>
          <w:tcPr/>
          <w:bookmarkStart w:id="392" w:name="fig-idbr-06-app"/>
          <w:p>
            <w:pPr>
              <w:pStyle w:val="Compact"/>
              <w:jc w:val="center"/>
            </w:pPr>
            <w:r>
              <w:drawing>
                <wp:inline>
                  <wp:extent cx="6642100" cy="2878243"/>
                  <wp:effectExtent b="0" l="0" r="0" t="0"/>
                  <wp:docPr descr="" title="" id="390" name="Picture"/>
                  <a:graphic>
                    <a:graphicData uri="http://schemas.openxmlformats.org/drawingml/2006/picture">
                      <pic:pic>
                        <pic:nvPicPr>
                          <pic:cNvPr descr="03-Indicadores_files/figure-docx/fig-idbr-06-app-1.png" id="391" name="Picture"/>
                          <pic:cNvPicPr>
                            <a:picLocks noChangeArrowheads="1" noChangeAspect="1"/>
                          </pic:cNvPicPr>
                        </pic:nvPicPr>
                        <pic:blipFill>
                          <a:blip r:embed="rId389"/>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3.37: IDBR 06 - Relação Entre Horas de</w:t>
            </w:r>
            <w:r>
              <w:t xml:space="preserve"> </w:t>
            </w:r>
            <w:r>
              <w:rPr>
                <w:i/>
                <w:iCs/>
              </w:rPr>
              <w:t xml:space="preserve">Login</w:t>
            </w:r>
            <w:r>
              <w:t xml:space="preserve"> </w:t>
            </w:r>
            <w:r>
              <w:t xml:space="preserve">X Horas ATCO por APP</w:t>
            </w:r>
          </w:p>
          <w:bookmarkEnd w:id="392"/>
        </w:tc>
      </w:tr>
    </w:tbl>
    <w:p>
      <w:pPr>
        <w:pStyle w:val="Corpodetexto"/>
      </w:pPr>
      <w:r>
        <w:t xml:space="preserve">Com relação aos Controles de Aproximação (APP), conforme a</w:t>
      </w:r>
      <w:r>
        <w:t xml:space="preserve"> </w:t>
      </w:r>
      <w:hyperlink w:anchor="fig-idbr-06-app">
        <w:r>
          <w:rPr>
            <w:rStyle w:val="Hyperlink"/>
          </w:rPr>
          <w:t xml:space="preserve">Figura 3.37</w:t>
        </w:r>
      </w:hyperlink>
      <w:r>
        <w:t xml:space="preserve">, o APP BH se destacou como o órgão com o maior crescimento do índice em questão entre 2024 e 2025, aumentando de 49,2% em 2024 para 52,2% em 2025 um acréscimo de 3 pontos percentuais Esse crescimento pode indicar uma melhor alocação do efetivo, mudanças na distribuição de turnos ou otimização na carga de trabalho operacional.</w:t>
      </w:r>
    </w:p>
    <w:p>
      <w:pPr>
        <w:pStyle w:val="Corpodetexto"/>
      </w:pPr>
      <w:r>
        <w:t xml:space="preserve">Por outro lado, o APP-BR registrou a maior queda, reduzindo significativamente de 52,4% em 2024 para 43,9% em 2025, uma variação negativa de 8,5% pontos percentuais Essa redução pode ser explicada devido a mudança de metodologia de cálculo, em que Supervisores deixaram de ser contabilizados, e que está atualmente sendo discutida através de Grupo de Trabalho para atualização da MCA 100-22.</w:t>
      </w:r>
    </w:p>
    <w:p>
      <w:pPr>
        <w:pStyle w:val="Corpodetexto"/>
      </w:pPr>
      <w:r>
        <w:t xml:space="preserve">O APP-NT também apresentou uma queda significativa ao longo dos anos, passando de 54,8% em 2023 para 43,4% em 2024 e 36,9% em 2025, com uma redução de 6,5 pontos percentuais entre 2024 e 2025. Isso pode ser explicado, pela característica local do órgão, com movimentos de tráfegos essencialmente militares. Por sediar 5 esquadrões de voo, usualmente ocorrem picos de tráfegos em determinados momentos e que estão relacionadas as atividades de ordem de instrução de aspirantes em formação durante os meses de Fevereiro a Dezembro.</w:t>
      </w:r>
    </w:p>
    <w:p>
      <w:pPr>
        <w:pStyle w:val="Corpodetexto"/>
      </w:pPr>
      <w:r>
        <w:t xml:space="preserve">Os APP-CT, APP-FL e APP-SP apresentaram um comportamento relativamente estável com poucas variações em seus índices. O APP-SP, por exemplo apresentou uma variação positiva de 1,2 pontos percentuais mudando de 52,6% em 2024 para 53,8% em 2025. Já o APP-SV, se manteve como o órgão com maior rendimento absoluto, apesar da leve queda de 67,2% em 2024 para 65,5% em 2025, consolidando-se no topo do ranking.</w:t>
      </w:r>
    </w:p>
    <w:p>
      <w:pPr>
        <w:pStyle w:val="Corpodetexto"/>
      </w:pPr>
      <w:r>
        <w:t xml:space="preserve">Foram observados ainda que os APP-BH, APP-RF, APP-MN e APP-RJ, que registraram oscilações em seus índices, com variações ora positivas ora negativas de até 3,5 pontos percentuais sendo importante informar que existem algumas lacunas criadas por ausência de fontes de dados dos últimos meses de 2025 dos APP-RF e APP-MN, mas que não comprometeram o resultado dos índices e nem as análises.</w:t>
      </w:r>
    </w:p>
    <w:tbl>
      <w:tblPr>
        <w:tblStyle w:val="Table"/>
        <w:tblW w:type="pct" w:w="5000"/>
        <w:tblLayout w:type="fixed"/>
        <w:tblLook w:firstRow="0" w:lastRow="0" w:firstColumn="0" w:lastColumn="0" w:noHBand="0" w:noVBand="0" w:val="0000"/>
      </w:tblPr>
      <w:tblGrid>
        <w:gridCol w:w="7920"/>
      </w:tblGrid>
      <w:tr>
        <w:tc>
          <w:tcPr/>
          <w:bookmarkStart w:id="396" w:name="fig-idbr-06-twr"/>
          <w:p>
            <w:pPr>
              <w:pStyle w:val="Compact"/>
              <w:jc w:val="center"/>
            </w:pPr>
            <w:r>
              <w:drawing>
                <wp:inline>
                  <wp:extent cx="6642100" cy="2878243"/>
                  <wp:effectExtent b="0" l="0" r="0" t="0"/>
                  <wp:docPr descr="" title="" id="394" name="Picture"/>
                  <a:graphic>
                    <a:graphicData uri="http://schemas.openxmlformats.org/drawingml/2006/picture">
                      <pic:pic>
                        <pic:nvPicPr>
                          <pic:cNvPr descr="03-Indicadores_files/figure-docx/fig-idbr-06-twr-1.png" id="395" name="Picture"/>
                          <pic:cNvPicPr>
                            <a:picLocks noChangeArrowheads="1" noChangeAspect="1"/>
                          </pic:cNvPicPr>
                        </pic:nvPicPr>
                        <pic:blipFill>
                          <a:blip r:embed="rId393"/>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3.38: IDBR 06 - Relação Entre Horas de</w:t>
            </w:r>
            <w:r>
              <w:t xml:space="preserve"> </w:t>
            </w:r>
            <w:r>
              <w:rPr>
                <w:i/>
                <w:iCs/>
              </w:rPr>
              <w:t xml:space="preserve">Login</w:t>
            </w:r>
            <w:r>
              <w:t xml:space="preserve"> </w:t>
            </w:r>
            <w:r>
              <w:t xml:space="preserve">X Horas ATCO por TWR</w:t>
            </w:r>
          </w:p>
          <w:bookmarkEnd w:id="396"/>
        </w:tc>
      </w:tr>
    </w:tbl>
    <w:p>
      <w:pPr>
        <w:pStyle w:val="Corpodetexto"/>
      </w:pPr>
      <w:r>
        <w:t xml:space="preserve">Analisando as Torres de Controle (TWR), conforme demonstrada na Figura 3.38, a TWR-CT se destacou como a torre com o maior crescimento no indice entre 2024 e 2025, passando de 57% para 59,8%, um aumento de 2,8 pontos percentuais, sendo também a que apresentou um leve crescimento no índice ao longo dos anos, passando de 56,8% em 2023 para 57% em 2024 e 59,8% em 2025.</w:t>
      </w:r>
    </w:p>
    <w:p>
      <w:pPr>
        <w:pStyle w:val="Corpodetexto"/>
      </w:pPr>
      <w:r>
        <w:t xml:space="preserve">Por outro lado, a TWR-EG registrou a maior queda, reduzindo de 63,2% em 2024 para 54,2% em 2025, com uma variação negativa de 9 pontos percentuais, apresentando também uma oscilação nos índices dos últimos anos.</w:t>
      </w:r>
    </w:p>
    <w:p>
      <w:pPr>
        <w:pStyle w:val="Corpodetexto"/>
      </w:pPr>
      <w:r>
        <w:t xml:space="preserve">As TWR-BR, TWR-CF, TWR-FL, TWR-SV, TWR-GL apresentaram estabilidade nos últimos anos, registrando variações ora positivas ora negativas de até 3,0 pontos percentuais Essas variações moderadas indicam que ambos os órgãos mantiveram um equilíbrio na relação entre horas escaladas e logadas, sem grandes impactos operacionais.</w:t>
      </w:r>
    </w:p>
    <w:p>
      <w:pPr>
        <w:pStyle w:val="Corpodetexto"/>
      </w:pPr>
      <w:r>
        <w:t xml:space="preserve">As TWR-NT, TWR-RF, TWR-BE e TWR-SP apresentaram tendências de queda em seus indices nos últimos anos. A TWR-SP, por exemplo apresentou uma variação negativa de 7,2 pontos percentuais, mudando de 55,9% em 2024 para 48,7% em 2025. Isso pode ser explicado pela diminuição no tempo efetivamente logado em relação à escala, possivelmente em decorrência de mudanças operacionais, ou redistribuição do efetivo.</w:t>
      </w:r>
    </w:p>
    <w:bookmarkEnd w:id="397"/>
    <w:bookmarkStart w:id="413" w:name="X6e4109f942d56d745bae9d53ac536a5bafcd710"/>
    <w:p>
      <w:pPr>
        <w:pStyle w:val="Ttulo3"/>
      </w:pPr>
      <w:r>
        <w:t xml:space="preserve">3.4.2 IDBR 08 - ÍNDICE DE OPERACIONALIDADE DO ATCO</w:t>
      </w:r>
    </w:p>
    <w:p>
      <w:pPr>
        <w:pStyle w:val="FirstParagraph"/>
      </w:pPr>
      <w:r>
        <w:t xml:space="preserve">Considerando a importância da tomada de decisão baseada em dados e a necessidade de análise contínua da performance dos órgãos de controle, o índice de operacionalidade do ATCO foi elevado à categoria de indicador de performance ATM, passando a ser monitorado pelo DECEA. No PCA 100-3 de 2024, o IDBR 08 – índice de operacionalidade – KPA Custo-Benefício, com o objetivo de avaliar a eficiência na alocação de recursos dentro do Sistema de Controle do Espaço Aéreo. Para garantir um padrão adequado de disponibilidade operacional, foi estabelecida uma meta de 85% de operacionalidade para os órgãos operacionais monitorados, assegurando a otimização dos recursos humanos e a continuidade dos serviços prestados.</w:t>
      </w:r>
    </w:p>
    <w:p>
      <w:pPr>
        <w:pStyle w:val="Corpodetexto"/>
      </w:pPr>
      <w:r>
        <w:t xml:space="preserve">A operacionalidade dos ATCO está intrinsecamente ligada à validade de sua Habilitação Técnica no respectivo Órgão de Controle, sendo essencial que esses profissionais mantenham sua qualificação atualizada e estejam plenamente aptos para desempenhar suas funções operacionais.</w:t>
      </w:r>
    </w:p>
    <w:p>
      <w:pPr>
        <w:pStyle w:val="Corpodetexto"/>
      </w:pPr>
      <w:r>
        <w:t xml:space="preserve">Entretanto, fatores como restrições médicas ou outros impedimentos podem impactar a capacidade dos ATCO de cumprir a carga horária mínima exigida para a manutenção de sua habilitação, afetando diretamente o índice de operacionalidade do órgão. Diante desse cenário, torna-se imprescindível um monitoramento contínuo dos dados operacionais, permitindo a alocação eficiente e estratégica dos controladores para assegurar a manutenção da capacidade operacional dos órgãos ATC e o atendimento pleno das demandas do DECEA.</w:t>
      </w:r>
    </w:p>
    <w:p>
      <w:pPr>
        <w:pStyle w:val="Corpodetexto"/>
      </w:pPr>
      <w:r>
        <w:t xml:space="preserve">O índice de operacionalidade é um indicador que representa o percentual de ATCO com habilitação técnica válida, sendo um parâmetro essencial para a gestão da operacionalidade dos controladores de voo destacados nos órgãos de controle. Embora seja possível analisar esse índice individualmente por órgão, a abordagem preferencial é a visualização agregada por Regional ou por suas respectivas Unidades, considerando que cada Regional detém autonomia na administração de seus ATCO.</w:t>
      </w:r>
    </w:p>
    <w:p>
      <w:pPr>
        <w:pStyle w:val="Corpodetexto"/>
      </w:pPr>
      <w:r>
        <w:t xml:space="preserve">Além disso, é fundamental destacar que as informações referentes ao IDBR 08 abrangem, exclusivamente, os ATCO do Comando da Aeronáutica (COMAER).</w:t>
      </w:r>
    </w:p>
    <w:p>
      <w:pPr>
        <w:pStyle w:val="Corpodetexto"/>
      </w:pPr>
      <w:r>
        <w:t xml:space="preserve">Conforme pode ser observado na</w:t>
      </w:r>
      <w:r>
        <w:t xml:space="preserve"> </w:t>
      </w:r>
      <w:hyperlink w:anchor="fig-idbr-08-regional">
        <w:r>
          <w:rPr>
            <w:rStyle w:val="Hyperlink"/>
          </w:rPr>
          <w:t xml:space="preserve">Figura 3.39</w:t>
        </w:r>
      </w:hyperlink>
      <w:r>
        <w:t xml:space="preserve">, o índice de operacionalidade total dos Regionais registrou um aumento de 1,2%, analisando 2024 e 2025. Já fora dos Regionais, ou seja, em organizações como o próprio DECEA, CGNA, ICEA, o índice subiu 4,6% do ano de 2024 para 2025, atingindo a média de 57,6% no último ano. Com isso, a média geral do Índice de Operacionalidade de todas as organizações manteve-se levemente abaixo da média da PCA 100-3, registrando o valor final de 83,1%.</w:t>
      </w:r>
    </w:p>
    <w:p>
      <w:pPr>
        <w:pStyle w:val="Corpodetexto"/>
      </w:pPr>
      <w:r>
        <w:t xml:space="preserve">Dentre os regionais, destaca-se o CINDACTA IV como o maior índice de Operacionalidade do SISCEAB. Em toda a série estudada (2023, 2024 e 2025), obteve o maior o índice de operacionalidade de 91,2%, seguido do CINDACTA III com 89,4%.</w:t>
      </w:r>
    </w:p>
    <w:p>
      <w:pPr>
        <w:pStyle w:val="Corpodetexto"/>
      </w:pPr>
      <w:r>
        <w:t xml:space="preserve">Da</w:t>
      </w:r>
      <w:r>
        <w:t xml:space="preserve"> </w:t>
      </w:r>
      <w:hyperlink w:anchor="fig-idbr-08-regional">
        <w:r>
          <w:rPr>
            <w:rStyle w:val="Hyperlink"/>
          </w:rPr>
          <w:t xml:space="preserve">Figura 3.39</w:t>
        </w:r>
      </w:hyperlink>
      <w:r>
        <w:t xml:space="preserve">, são apresentados os resultados do IDBR 08 para os Destacamentos que possuem órgãos ATC, subordinados a cada Regional. Na análise, verificou-se que a maioria das unidades estão operando igual ou acima da meta de 85%.</w:t>
      </w:r>
    </w:p>
    <w:tbl>
      <w:tblPr>
        <w:tblStyle w:val="Table"/>
        <w:tblW w:type="pct" w:w="5000"/>
        <w:tblLayout w:type="fixed"/>
        <w:tblLook w:firstRow="0" w:lastRow="0" w:firstColumn="0" w:lastColumn="0" w:noHBand="0" w:noVBand="0" w:val="0000"/>
      </w:tblPr>
      <w:tblGrid>
        <w:gridCol w:w="7920"/>
      </w:tblGrid>
      <w:tr>
        <w:tc>
          <w:tcPr/>
          <w:bookmarkStart w:id="401" w:name="fig-idbr-08-regional"/>
          <w:p>
            <w:pPr>
              <w:pStyle w:val="Compact"/>
              <w:jc w:val="center"/>
            </w:pPr>
            <w:r>
              <w:drawing>
                <wp:inline>
                  <wp:extent cx="5977890" cy="2590419"/>
                  <wp:effectExtent b="0" l="0" r="0" t="0"/>
                  <wp:docPr descr="" title="" id="399" name="Picture"/>
                  <a:graphic>
                    <a:graphicData uri="http://schemas.openxmlformats.org/drawingml/2006/picture">
                      <pic:pic>
                        <pic:nvPicPr>
                          <pic:cNvPr descr="03-Indicadores_files/figure-docx/fig-idbr-08-regional-1.png" id="400" name="Picture"/>
                          <pic:cNvPicPr>
                            <a:picLocks noChangeArrowheads="1" noChangeAspect="1"/>
                          </pic:cNvPicPr>
                        </pic:nvPicPr>
                        <pic:blipFill>
                          <a:blip r:embed="rId398"/>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3.39: IDBR 08 - Índice de Operacionalidade por Regional</w:t>
            </w:r>
          </w:p>
          <w:bookmarkEnd w:id="401"/>
        </w:tc>
      </w:tr>
    </w:tbl>
    <w:p>
      <w:pPr>
        <w:pStyle w:val="Corpodetexto"/>
      </w:pPr>
      <w:r>
        <w:drawing>
          <wp:inline>
            <wp:extent cx="5977890" cy="2590419"/>
            <wp:effectExtent b="0" l="0" r="0" t="0"/>
            <wp:docPr descr="" title="" id="403" name="Picture"/>
            <a:graphic>
              <a:graphicData uri="http://schemas.openxmlformats.org/drawingml/2006/picture">
                <pic:pic>
                  <pic:nvPicPr>
                    <pic:cNvPr descr="03-Indicadores_files/figure-docx/unnamed-chunk-12-1.png" id="404" name="Picture"/>
                    <pic:cNvPicPr>
                      <a:picLocks noChangeArrowheads="1" noChangeAspect="1"/>
                    </pic:cNvPicPr>
                  </pic:nvPicPr>
                  <pic:blipFill>
                    <a:blip r:embed="rId402"/>
                    <a:stretch>
                      <a:fillRect/>
                    </a:stretch>
                  </pic:blipFill>
                  <pic:spPr bwMode="auto">
                    <a:xfrm>
                      <a:off x="0" y="0"/>
                      <a:ext cx="5977890" cy="2590419"/>
                    </a:xfrm>
                    <a:prstGeom prst="rect">
                      <a:avLst/>
                    </a:prstGeom>
                    <a:noFill/>
                    <a:ln w="9525">
                      <a:noFill/>
                      <a:headEnd/>
                      <a:tailEnd/>
                    </a:ln>
                  </pic:spPr>
                </pic:pic>
              </a:graphicData>
            </a:graphic>
          </wp:inline>
        </w:drawing>
      </w:r>
    </w:p>
    <w:tbl>
      <w:tblPr>
        <w:tblStyle w:val="Table"/>
        <w:tblW w:type="pct" w:w="5000"/>
        <w:tblLayout w:type="fixed"/>
        <w:tblLook w:firstRow="0" w:lastRow="0" w:firstColumn="0" w:lastColumn="0" w:noHBand="0" w:noVBand="0" w:val="0000"/>
      </w:tblPr>
      <w:tblGrid>
        <w:gridCol w:w="7920"/>
      </w:tblGrid>
      <w:tr>
        <w:tc>
          <w:tcPr/>
          <w:bookmarkStart w:id="408" w:name="fig-idbr-08-regional-b"/>
          <w:p>
            <w:pPr>
              <w:pStyle w:val="Compact"/>
              <w:jc w:val="center"/>
            </w:pPr>
            <w:r>
              <w:drawing>
                <wp:inline>
                  <wp:extent cx="5977890" cy="2590419"/>
                  <wp:effectExtent b="0" l="0" r="0" t="0"/>
                  <wp:docPr descr="" title="" id="406" name="Picture"/>
                  <a:graphic>
                    <a:graphicData uri="http://schemas.openxmlformats.org/drawingml/2006/picture">
                      <pic:pic>
                        <pic:nvPicPr>
                          <pic:cNvPr descr="03-Indicadores_files/figure-docx/fig-idbr-08-regional-b-1.png" id="407" name="Picture"/>
                          <pic:cNvPicPr>
                            <a:picLocks noChangeArrowheads="1" noChangeAspect="1"/>
                          </pic:cNvPicPr>
                        </pic:nvPicPr>
                        <pic:blipFill>
                          <a:blip r:embed="rId405"/>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3.40: IDBR 08 - Índice de Operacionalidade em Relação à Média</w:t>
            </w:r>
          </w:p>
          <w:bookmarkEnd w:id="408"/>
        </w:tc>
      </w:tr>
    </w:tbl>
    <w:p>
      <w:pPr>
        <w:pStyle w:val="Corpodetexto"/>
      </w:pPr>
      <w:r>
        <w:t xml:space="preserve">Por fim, em termos de classificação geral do DECEA, é apresentado na</w:t>
      </w:r>
      <w:r>
        <w:t xml:space="preserve"> </w:t>
      </w:r>
      <w:hyperlink w:anchor="fig-idbr-08-top10">
        <w:r>
          <w:rPr>
            <w:rStyle w:val="Hyperlink"/>
          </w:rPr>
          <w:t xml:space="preserve">Figura 3.41</w:t>
        </w:r>
      </w:hyperlink>
      <w:r>
        <w:t xml:space="preserve"> </w:t>
      </w:r>
      <w:r>
        <w:t xml:space="preserve">o</w:t>
      </w:r>
      <w:r>
        <w:t xml:space="preserve"> </w:t>
      </w:r>
      <w:r>
        <w:rPr>
          <w:i/>
          <w:iCs/>
        </w:rPr>
        <w:t xml:space="preserve">ranking</w:t>
      </w:r>
      <w:r>
        <w:t xml:space="preserve"> </w:t>
      </w:r>
      <w:r>
        <w:t xml:space="preserve">TOP 10 das unidades com os maiores IDBR 08 em 2025. O DTCEA-EG foi o destacamento com melhor percentual operacional dentre todas as unidades com órgão ATC, com 95,7% de operacionalidade.</w:t>
      </w:r>
    </w:p>
    <w:tbl>
      <w:tblPr>
        <w:tblStyle w:val="Table"/>
        <w:tblW w:type="pct" w:w="5000"/>
        <w:tblLayout w:type="fixed"/>
        <w:tblLook w:firstRow="0" w:lastRow="0" w:firstColumn="0" w:lastColumn="0" w:noHBand="0" w:noVBand="0" w:val="0000"/>
      </w:tblPr>
      <w:tblGrid>
        <w:gridCol w:w="7920"/>
      </w:tblGrid>
      <w:tr>
        <w:tc>
          <w:tcPr/>
          <w:bookmarkStart w:id="412" w:name="fig-idbr-08-top10"/>
          <w:p>
            <w:pPr>
              <w:pStyle w:val="Compact"/>
              <w:jc w:val="center"/>
            </w:pPr>
            <w:r>
              <w:drawing>
                <wp:inline>
                  <wp:extent cx="5977890" cy="6725126"/>
                  <wp:effectExtent b="0" l="0" r="0" t="0"/>
                  <wp:docPr descr="" title="" id="410" name="Picture"/>
                  <a:graphic>
                    <a:graphicData uri="http://schemas.openxmlformats.org/drawingml/2006/picture">
                      <pic:pic>
                        <pic:nvPicPr>
                          <pic:cNvPr descr="03-Indicadores_files/figure-docx/fig-idbr-08-top10-1.png" id="411" name="Picture"/>
                          <pic:cNvPicPr>
                            <a:picLocks noChangeArrowheads="1" noChangeAspect="1"/>
                          </pic:cNvPicPr>
                        </pic:nvPicPr>
                        <pic:blipFill>
                          <a:blip r:embed="rId409"/>
                          <a:stretch>
                            <a:fillRect/>
                          </a:stretch>
                        </pic:blipFill>
                        <pic:spPr bwMode="auto">
                          <a:xfrm>
                            <a:off x="0" y="0"/>
                            <a:ext cx="5977890" cy="6725126"/>
                          </a:xfrm>
                          <a:prstGeom prst="rect">
                            <a:avLst/>
                          </a:prstGeom>
                          <a:noFill/>
                          <a:ln w="9525">
                            <a:noFill/>
                            <a:headEnd/>
                            <a:tailEnd/>
                          </a:ln>
                        </pic:spPr>
                      </pic:pic>
                    </a:graphicData>
                  </a:graphic>
                </wp:inline>
              </w:drawing>
            </w:r>
          </w:p>
          <w:p>
            <w:pPr>
              <w:jc w:val="center"/>
            </w:pPr>
            <w:pPr>
              <w:jc w:val="left"/>
              <w:spacing w:before="200"/>
              <w:pStyle w:val="ImageCaption"/>
            </w:pPr>
            <w:r>
              <w:t xml:space="preserve">Figura 3.41:</w:t>
            </w:r>
            <w:r>
              <w:t xml:space="preserve"> </w:t>
            </w:r>
            <w:r>
              <w:rPr>
                <w:i/>
                <w:iCs/>
              </w:rPr>
              <w:t xml:space="preserve">Ranking</w:t>
            </w:r>
            <w:r>
              <w:t xml:space="preserve"> </w:t>
            </w:r>
            <w:r>
              <w:t xml:space="preserve">Top 10 do IDBR 08 - Índice de Operacionalidade</w:t>
            </w:r>
          </w:p>
          <w:bookmarkEnd w:id="412"/>
        </w:tc>
      </w:tr>
    </w:tbl>
    <w:p>
      <w:pPr>
        <w:pStyle w:val="Corpodetexto"/>
      </w:pPr>
      <w:r>
        <w:t xml:space="preserve">A KPA Custo-Benefício ressalta a importância da eficiência operacional e da alocação estratégica dos recursos humanos dentro do SISCEAB. Em 2025, os indicadores IDBR 06 e IDBR08 demonstraram avanços em algumas regiões, mas também desafios, como a queda no rendimento operacional de certos órgãos e a necessidade de otimizar a relação entre horas logadas e horas escaladas. O índice de operacionalidade dos ATCO registra leve crescimento, mas ainda abaixo da meta estabelecida, reforçando a necessidade de ações contínuas para garantir a disponibilidade de controladores habilitados e a sustentabilidade operacional do sistema.</w:t>
      </w:r>
    </w:p>
    <w:bookmarkEnd w:id="413"/>
    <w:bookmarkEnd w:id="414"/>
    <w:bookmarkStart w:id="452" w:name="participação-da-comunidade-atm"/>
    <w:p>
      <w:pPr>
        <w:pStyle w:val="Ttulo2"/>
      </w:pPr>
      <w:r>
        <w:t xml:space="preserve">3.5 PARTICIPAÇÃO DA COMUNIDADE ATM</w:t>
      </w:r>
    </w:p>
    <w:p>
      <w:pPr>
        <w:pStyle w:val="FirstParagraph"/>
      </w:pPr>
      <w:r>
        <w:t xml:space="preserve">A gestão dos Serviços de Navegação Aérea integra as expectativas da sociedade e das partes interessadas ao planejamento estratégico e à prestação de serviços operacionais, sendo a Participação da Comunidade ATM uma das áreas-chave de performance (KPA) de interesse no PCA 100-3. Este pilar assegura a transparência e a interoperabilidade do sistema, utilizando a pesquisa de satisfação como instrumento para mensurar a percepção dos usuários e monitorar a aderência dos serviços às necessidades operacionais. A gestão por performance orientada ao usuário permite um diagnóstico preciso das demandas de operadores e demais entes envolvidos, fornecendo subsídios para investimentos direcionados e melhorias contínuas que reforçam a previsibilidade, a eficiência e a segurança das operações coordenadas no âmbito do SISCEAB.</w:t>
      </w:r>
    </w:p>
    <w:bookmarkStart w:id="451" w:name="pesquisa-de-satisfação-do-sisceab"/>
    <w:p>
      <w:pPr>
        <w:pStyle w:val="Ttulo3"/>
      </w:pPr>
      <w:r>
        <w:t xml:space="preserve">3.5.1 PESQUISA DE SATISFAÇÃO DO SISCEAB</w:t>
      </w:r>
    </w:p>
    <w:p>
      <w:pPr>
        <w:pStyle w:val="FirstParagraph"/>
      </w:pPr>
      <w:r>
        <w:t xml:space="preserve">A</w:t>
      </w:r>
      <w:r>
        <w:t xml:space="preserve"> </w:t>
      </w:r>
      <w:r>
        <w:rPr>
          <w:b/>
          <w:bCs/>
        </w:rPr>
        <w:t xml:space="preserve">Pesquisa de Satisfação do SISCEAB 2025</w:t>
      </w:r>
      <w:r>
        <w:t xml:space="preserve"> </w:t>
      </w:r>
      <w:r>
        <w:t xml:space="preserve">foi realizada entre 1º de agosto e 31 de outubro via questionário on-line, visando captar as percepções da Comunidade ATM para o aprimoramento contínuo dos serviços de tráfego aéreo. Este processo colaborativo subsidia o planejamento e gerenciamento do DECEA em conformidade com o</w:t>
      </w:r>
      <w:r>
        <w:t xml:space="preserve"> </w:t>
      </w:r>
      <w:r>
        <w:rPr>
          <w:b/>
          <w:bCs/>
        </w:rPr>
        <w:t xml:space="preserve">PCA 100-3</w:t>
      </w:r>
      <w:r>
        <w:t xml:space="preserve">, alinhando estratégias às necessidades e expectativas de usuários e prestadores.</w:t>
      </w:r>
    </w:p>
    <w:p>
      <w:pPr>
        <w:pStyle w:val="Corpodetexto"/>
      </w:pPr>
      <w:r>
        <w:t xml:space="preserve">O levantamento registrou 605 respostas válidas, volume suficiente para atender aos critérios de validação estatística da amostra. As avaliações baseiam-se em escalas de gradação que variam de 1 (Ruim) a 5 (Ótimo), além da opção</w:t>
      </w:r>
      <w:r>
        <w:t xml:space="preserve"> </w:t>
      </w:r>
      <w:r>
        <w:t xml:space="preserve">“Não sei opinar”</w:t>
      </w:r>
      <w:r>
        <w:t xml:space="preserve">, conforme detalhado na Tabela 3.7, permitindo mensurar com precisão o nível de satisfação em relação aos diversos eixos temáticos do Sistema.</w:t>
      </w:r>
    </w:p>
    <w:tbl>
      <w:tblPr>
        <w:tblStyle w:val="Table"/>
        <w:tblW w:type="pct" w:w="5000"/>
        <w:tblLayout w:type="fixed"/>
        <w:tblLook w:firstRow="0" w:lastRow="0" w:firstColumn="0" w:lastColumn="0" w:noHBand="0" w:noVBand="0" w:val="0000"/>
      </w:tblPr>
      <w:tblGrid>
        <w:gridCol w:w="7920"/>
      </w:tblGrid>
      <w:tr>
        <w:tc>
          <w:tcPr/>
          <w:bookmarkStart w:id="415" w:name="tbl-gradacao-avaliacao"/>
          <w:p>
            <w:pPr>
              <w:jc w:val="center"/>
            </w:pPr>
            <w:pPr>
              <w:jc w:val="left"/>
              <w:spacing w:before="200"/>
              <w:pStyle w:val="ImageCaption"/>
            </w:pPr>
            <w:r>
              <w:t xml:space="preserve">Tabela 3.7: Gradação da avaliação</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center"/>
                    <w:jc w:val="center"/>
                  </w:pPr>
                  <w:r>
                    <w:t xml:space="preserve">Pontuação</w:t>
                  </w:r>
                </w:p>
              </w:tc>
              <w:tc>
                <w:tcPr/>
                <w:p>
                  <w:pPr>
                    <w:pStyle w:val="Compact"/>
                    <w:jc w:val="center"/>
                    <w:jc w:val="center"/>
                  </w:pPr>
                  <w:r>
                    <w:t xml:space="preserve">Descrição</w:t>
                  </w:r>
                </w:p>
              </w:tc>
            </w:tr>
            <w:tr>
              <w:tc>
                <w:tcPr/>
                <w:p>
                  <w:pPr>
                    <w:pStyle w:val="Compact"/>
                    <w:jc w:val="center"/>
                    <w:jc w:val="center"/>
                  </w:pPr>
                  <w:r>
                    <w:t xml:space="preserve">Não sei opinar (sem pontuação)</w:t>
                  </w:r>
                </w:p>
              </w:tc>
              <w:tc>
                <w:tcPr/>
                <w:p>
                  <w:pPr>
                    <w:pStyle w:val="Compact"/>
                    <w:jc w:val="center"/>
                    <w:jc w:val="center"/>
                  </w:pPr>
                  <w:r>
                    <w:t xml:space="preserve">Não sei opinar</w:t>
                  </w:r>
                </w:p>
              </w:tc>
            </w:tr>
            <w:tr>
              <w:tc>
                <w:tcPr/>
                <w:p>
                  <w:pPr>
                    <w:pStyle w:val="Compact"/>
                    <w:jc w:val="center"/>
                    <w:jc w:val="center"/>
                  </w:pPr>
                  <w:r>
                    <w:t xml:space="preserve">1</w:t>
                  </w:r>
                </w:p>
              </w:tc>
              <w:tc>
                <w:tcPr/>
                <w:p>
                  <w:pPr>
                    <w:pStyle w:val="Compact"/>
                    <w:jc w:val="center"/>
                    <w:jc w:val="center"/>
                  </w:pPr>
                  <w:r>
                    <w:t xml:space="preserve">Ruim</w:t>
                  </w:r>
                </w:p>
              </w:tc>
            </w:tr>
            <w:tr>
              <w:tc>
                <w:tcPr/>
                <w:p>
                  <w:pPr>
                    <w:pStyle w:val="Compact"/>
                    <w:jc w:val="center"/>
                    <w:jc w:val="center"/>
                  </w:pPr>
                  <w:r>
                    <w:t xml:space="preserve">2</w:t>
                  </w:r>
                </w:p>
              </w:tc>
              <w:tc>
                <w:tcPr/>
                <w:p>
                  <w:pPr>
                    <w:pStyle w:val="Compact"/>
                    <w:jc w:val="center"/>
                    <w:jc w:val="center"/>
                  </w:pPr>
                  <w:r>
                    <w:t xml:space="preserve">Pode melhorar</w:t>
                  </w:r>
                </w:p>
              </w:tc>
            </w:tr>
            <w:tr>
              <w:tc>
                <w:tcPr/>
                <w:p>
                  <w:pPr>
                    <w:pStyle w:val="Compact"/>
                    <w:jc w:val="center"/>
                    <w:jc w:val="center"/>
                  </w:pPr>
                  <w:r>
                    <w:t xml:space="preserve">3</w:t>
                  </w:r>
                </w:p>
              </w:tc>
              <w:tc>
                <w:tcPr/>
                <w:p>
                  <w:pPr>
                    <w:pStyle w:val="Compact"/>
                    <w:jc w:val="center"/>
                    <w:jc w:val="center"/>
                  </w:pPr>
                  <w:r>
                    <w:t xml:space="preserve">Regular</w:t>
                  </w:r>
                </w:p>
              </w:tc>
            </w:tr>
            <w:tr>
              <w:tc>
                <w:tcPr/>
                <w:p>
                  <w:pPr>
                    <w:pStyle w:val="Compact"/>
                    <w:jc w:val="center"/>
                    <w:jc w:val="center"/>
                  </w:pPr>
                  <w:r>
                    <w:t xml:space="preserve">4</w:t>
                  </w:r>
                </w:p>
              </w:tc>
              <w:tc>
                <w:tcPr/>
                <w:p>
                  <w:pPr>
                    <w:pStyle w:val="Compact"/>
                    <w:jc w:val="center"/>
                    <w:jc w:val="center"/>
                  </w:pPr>
                  <w:r>
                    <w:t xml:space="preserve">Bom</w:t>
                  </w:r>
                </w:p>
              </w:tc>
            </w:tr>
            <w:tr>
              <w:tc>
                <w:tcPr/>
                <w:p>
                  <w:pPr>
                    <w:pStyle w:val="Compact"/>
                    <w:jc w:val="center"/>
                    <w:jc w:val="center"/>
                  </w:pPr>
                  <w:r>
                    <w:t xml:space="preserve">5</w:t>
                  </w:r>
                </w:p>
              </w:tc>
              <w:tc>
                <w:tcPr/>
                <w:p>
                  <w:pPr>
                    <w:pStyle w:val="Compact"/>
                    <w:jc w:val="center"/>
                    <w:jc w:val="center"/>
                  </w:pPr>
                  <w:r>
                    <w:t xml:space="preserve">Ótimo</w:t>
                  </w:r>
                </w:p>
              </w:tc>
            </w:tr>
          </w:tbl>
          <w:bookmarkEnd w:id="415"/>
          <w:p/>
        </w:tc>
      </w:tr>
    </w:tbl>
    <w:bookmarkStart w:id="420" w:name="perfil-dos-usuários"/>
    <w:p>
      <w:pPr>
        <w:pStyle w:val="Ttulo4"/>
      </w:pPr>
      <w:r>
        <w:t xml:space="preserve">3.5.1.1 PERFIL DOS USUÁRIOS</w:t>
      </w:r>
    </w:p>
    <w:p>
      <w:pPr>
        <w:pStyle w:val="FirstParagraph"/>
      </w:pPr>
      <w:r>
        <w:t xml:space="preserve">A Pesquisa de Satisfação do SISCEAB 2025 manteve a metodologia de anos anteriores para assegurar a consistência estatística na análise dos perfis institucionais.</w:t>
      </w:r>
    </w:p>
    <w:p>
      <w:pPr>
        <w:pStyle w:val="Corpodetexto"/>
      </w:pPr>
      <w:r>
        <w:t xml:space="preserve">Os dados confirmam os aeronautas ou usuários do espaço aéreo como o segmento predominante, atingindo 56,7% em 2025 e mantendo o crescimento observado em 2023 (49,5%) e 2024 (55,0%). Esse cenário indica que a avaliação reflete majoritariamente a percepção de usuários diretos, sensíveis à qualidade operacional do sistema.</w:t>
      </w:r>
    </w:p>
    <w:p>
      <w:pPr>
        <w:pStyle w:val="Corpodetexto"/>
      </w:pPr>
      <w:r>
        <w:t xml:space="preserve">Em contrapartida, a participação dos Prestadores de Serviço de Navegação Aérea apresentou redução contínua, passando de 45,5% em 2023 para 29,0% em 2024, chegando a 20,2% em 2025. Essa evolução fortalece o caráter externo da pesquisa, priorizando a visão do cliente sobre os processos internos.</w:t>
      </w:r>
    </w:p>
    <w:p>
      <w:pPr>
        <w:pStyle w:val="Corpodetexto"/>
      </w:pPr>
      <w:r>
        <w:t xml:space="preserve">A categoria</w:t>
      </w:r>
      <w:r>
        <w:t xml:space="preserve"> </w:t>
      </w:r>
      <w:r>
        <w:t xml:space="preserve">“Outros”</w:t>
      </w:r>
      <w:r>
        <w:t xml:space="preserve"> </w:t>
      </w:r>
      <w:r>
        <w:t xml:space="preserve">também registrou expansão significativa, saltando de 2,4% (2023) para 12,9% (2024) e atingindo 19,3% em 2025, refletindo um ecossistema mais digital e interdependente. Por fim, a administração aeroportuária representou 1,0% da amostra, enquanto os órgãos reguladores e governamentais cresceram para 2,8% no último ano. No conjunto, a amostra de 2025 consolida-se como a mais orientada ao usuário externo de toda a série histórica.</w:t>
      </w:r>
    </w:p>
    <w:p>
      <w:pPr>
        <w:pStyle w:val="Corpodetexto"/>
      </w:pPr>
      <w:r>
        <w:t xml:space="preserve">A distribuição do perfil dos avaliadores está apresentada na</w:t>
      </w:r>
      <w:r>
        <w:t xml:space="preserve"> </w:t>
      </w:r>
      <w:hyperlink w:anchor="fig-perfil-usuarios-teste">
        <w:r>
          <w:rPr>
            <w:rStyle w:val="Hyperlink"/>
          </w:rPr>
          <w:t xml:space="preserve">Figura 3.42</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419" w:name="fig-perfil-usuarios-teste"/>
          <w:p>
            <w:pPr>
              <w:pStyle w:val="Compact"/>
              <w:jc w:val="center"/>
            </w:pPr>
            <w:r>
              <w:drawing>
                <wp:inline>
                  <wp:extent cx="6642100" cy="2878243"/>
                  <wp:effectExtent b="0" l="0" r="0" t="0"/>
                  <wp:docPr descr="" title="" id="417" name="Picture"/>
                  <a:graphic>
                    <a:graphicData uri="http://schemas.openxmlformats.org/drawingml/2006/picture">
                      <pic:pic>
                        <pic:nvPicPr>
                          <pic:cNvPr descr="03-Indicadores_files/figure-docx/fig-perfil-usuarios-teste-1.png" id="418" name="Picture"/>
                          <pic:cNvPicPr>
                            <a:picLocks noChangeArrowheads="1" noChangeAspect="1"/>
                          </pic:cNvPicPr>
                        </pic:nvPicPr>
                        <pic:blipFill>
                          <a:blip r:embed="rId416"/>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3.42: Perfil dos Usuários</w:t>
            </w:r>
          </w:p>
          <w:bookmarkEnd w:id="419"/>
        </w:tc>
      </w:tr>
    </w:tbl>
    <w:bookmarkEnd w:id="420"/>
    <w:bookmarkStart w:id="425" w:name="avaliação-dos-produtos-do-decea"/>
    <w:p>
      <w:pPr>
        <w:pStyle w:val="Ttulo4"/>
      </w:pPr>
      <w:r>
        <w:t xml:space="preserve">3.5.1.2 AVALIAÇÃO DOS PRODUTOS DO DECEA</w:t>
      </w:r>
    </w:p>
    <w:p>
      <w:pPr>
        <w:pStyle w:val="FirstParagraph"/>
      </w:pPr>
      <w:r>
        <w:t xml:space="preserve">A avaliação da frequência de utilização dos produtos do DECEA identifica a aderência dessas ferramentas às necessidades da Comunidade ATM, revelando mudanças no padrão de consumo dos serviços entre 2024 e 2025 decorrentes da diversificação do perfil dos respondentes. Plataformas de suporte operacional e informação aeronáutica consolidam-se como os principais pontos de contato, com o REDEMET liderando a recorrência ao registrar 63% de</w:t>
      </w:r>
      <w:r>
        <w:t xml:space="preserve"> </w:t>
      </w:r>
      <w:r>
        <w:t xml:space="preserve">“Uso sempre”</w:t>
      </w:r>
      <w:r>
        <w:t xml:space="preserve"> </w:t>
      </w:r>
      <w:r>
        <w:t xml:space="preserve">em 2025. O AISWEB apresentou 51% de uso frequente, apesar do aumento do grupo de não usuários para 34%, enquanto o FPL-BR/SIGMA manteve relevância com 33% de utilização constante e 48% na categoria</w:t>
      </w:r>
      <w:r>
        <w:t xml:space="preserve"> </w:t>
      </w:r>
      <w:r>
        <w:t xml:space="preserve">“Nunca usei”</w:t>
      </w:r>
      <w:r>
        <w:t xml:space="preserve">, refletindo a ampliação da base para perfis que não realizam planejamento de voo regular. Notou-se, ainda, um crescimento no uso frequente do Site do DECEA, que passou de 31% para 42%.</w:t>
      </w:r>
    </w:p>
    <w:p>
      <w:pPr>
        <w:pStyle w:val="Corpodetexto"/>
      </w:pPr>
      <w:r>
        <w:t xml:space="preserve">O SARPAS registrou a variação mais significativa do período, com o percentual de</w:t>
      </w:r>
      <w:r>
        <w:t xml:space="preserve"> </w:t>
      </w:r>
      <w:r>
        <w:t xml:space="preserve">“Uso sempre”</w:t>
      </w:r>
      <w:r>
        <w:t xml:space="preserve"> </w:t>
      </w:r>
      <w:r>
        <w:t xml:space="preserve">saltando de 5% em 2024 para 26% em 2025, enquanto o índice de</w:t>
      </w:r>
      <w:r>
        <w:t xml:space="preserve"> </w:t>
      </w:r>
      <w:r>
        <w:t xml:space="preserve">“Nunca usei”</w:t>
      </w:r>
      <w:r>
        <w:t xml:space="preserve"> </w:t>
      </w:r>
      <w:r>
        <w:t xml:space="preserve">recuou de 86% para 64%, evidenciando a expressiva entrada de operadores de aeronaves remotamente pilotadas na amostra. Ferramentas técnicas ou voltadas a nichos específicos apresentam maior concentração na categoria de não utilização, caso dos Sistemas ATM (61% de</w:t>
      </w:r>
      <w:r>
        <w:t xml:space="preserve"> </w:t>
      </w:r>
      <w:r>
        <w:t xml:space="preserve">“Nunca usei”</w:t>
      </w:r>
      <w:r>
        <w:t xml:space="preserve"> </w:t>
      </w:r>
      <w:r>
        <w:t xml:space="preserve">e 20% de uso frequente), do DASA (72% de não uso) e do LPNA (71%). Sistemas como SIGCEA, SDIA e SYSAGA mantiveram elevados índices de não utilização, situando-se entre 76% e 84%. Por fim, portais de gestão operacional, como o do CGNA (61% de</w:t>
      </w:r>
      <w:r>
        <w:t xml:space="preserve"> </w:t>
      </w:r>
      <w:r>
        <w:t xml:space="preserve">“Nunca usei”</w:t>
      </w:r>
      <w:r>
        <w:t xml:space="preserve"> </w:t>
      </w:r>
      <w:r>
        <w:t xml:space="preserve">e 26% de uso eventual) e os Relatórios Estatísticos (58% de não uso e 30% eventual), apresentam uso estável e segmentado, reforçando a percepção do SISCEAB como uma plataforma integrada que atende tanto a aviação tradicional quanto o crescente setor de UAS. O resultado geral pode ser observado na</w:t>
      </w:r>
      <w:r>
        <w:t xml:space="preserve"> </w:t>
      </w:r>
      <w:hyperlink w:anchor="fig-frequencia-uso-produtos-teste">
        <w:r>
          <w:rPr>
            <w:rStyle w:val="Hyperlink"/>
          </w:rPr>
          <w:t xml:space="preserve">Figura 3.43</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424" w:name="fig-frequencia-uso-produtos-teste"/>
          <w:p>
            <w:pPr>
              <w:pStyle w:val="Compact"/>
              <w:jc w:val="center"/>
            </w:pPr>
            <w:r>
              <w:drawing>
                <wp:inline>
                  <wp:extent cx="6642100" cy="3795485"/>
                  <wp:effectExtent b="0" l="0" r="0" t="0"/>
                  <wp:docPr descr="" title="" id="422" name="Picture"/>
                  <a:graphic>
                    <a:graphicData uri="http://schemas.openxmlformats.org/drawingml/2006/picture">
                      <pic:pic>
                        <pic:nvPicPr>
                          <pic:cNvPr descr="03-Indicadores_files/figure-docx/fig-frequencia-uso-produtos-teste-1.png" id="423" name="Picture"/>
                          <pic:cNvPicPr>
                            <a:picLocks noChangeArrowheads="1" noChangeAspect="1"/>
                          </pic:cNvPicPr>
                        </pic:nvPicPr>
                        <pic:blipFill>
                          <a:blip r:embed="rId421"/>
                          <a:stretch>
                            <a:fillRect/>
                          </a:stretch>
                        </pic:blipFill>
                        <pic:spPr bwMode="auto">
                          <a:xfrm>
                            <a:off x="0" y="0"/>
                            <a:ext cx="6642100" cy="3795485"/>
                          </a:xfrm>
                          <a:prstGeom prst="rect">
                            <a:avLst/>
                          </a:prstGeom>
                          <a:noFill/>
                          <a:ln w="9525">
                            <a:noFill/>
                            <a:headEnd/>
                            <a:tailEnd/>
                          </a:ln>
                        </pic:spPr>
                      </pic:pic>
                    </a:graphicData>
                  </a:graphic>
                </wp:inline>
              </w:drawing>
            </w:r>
          </w:p>
          <w:p>
            <w:pPr>
              <w:jc w:val="center"/>
            </w:pPr>
            <w:pPr>
              <w:jc w:val="left"/>
              <w:spacing w:before="200"/>
              <w:pStyle w:val="ImageCaption"/>
            </w:pPr>
            <w:r>
              <w:t xml:space="preserve">Figura 3.43: Frequência de Uso de Produtos do DECEA</w:t>
            </w:r>
          </w:p>
          <w:bookmarkEnd w:id="424"/>
        </w:tc>
      </w:tr>
    </w:tbl>
    <w:bookmarkEnd w:id="425"/>
    <w:bookmarkStart w:id="430" w:name="Xb9e582c2a318c6dd85ce5b51d1fd3fd46da6e6a"/>
    <w:p>
      <w:pPr>
        <w:pStyle w:val="Ttulo4"/>
      </w:pPr>
      <w:r>
        <w:t xml:space="preserve">3.5.1.3 AVALIAÇÃO DA QUALIDADE NA PRESTAÇÃO DOS SERVIÇOS DE NAVEGAÇÃO AÉREA</w:t>
      </w:r>
    </w:p>
    <w:p>
      <w:pPr>
        <w:pStyle w:val="FirstParagraph"/>
      </w:pPr>
      <w:r>
        <w:t xml:space="preserve">A</w:t>
      </w:r>
      <w:r>
        <w:t xml:space="preserve"> </w:t>
      </w:r>
      <w:hyperlink w:anchor="fig-qualidade-sna-teste">
        <w:r>
          <w:rPr>
            <w:rStyle w:val="Hyperlink"/>
          </w:rPr>
          <w:t xml:space="preserve">Figura 3.44</w:t>
        </w:r>
      </w:hyperlink>
      <w:r>
        <w:t xml:space="preserve"> </w:t>
      </w:r>
      <w:r>
        <w:t xml:space="preserve">consolida, de forma integrada, a média das avaliações atribuídas pelos usuários e o percentual de respostas positivas, correspondentes às notas 4 e 5, permitindo aferir o nível de satisfação daqueles que efetivamente avaliaram cada serviço. Os resultados observados em 2025 indicam uma evolução consistente em todas as dimensões analisadas, evidenciando ganhos tanto no conjunto operacional quanto nos serviços de apoio ao planejamento das operações.</w:t>
      </w:r>
    </w:p>
    <w:p>
      <w:pPr>
        <w:pStyle w:val="Corpodetexto"/>
      </w:pPr>
      <w:r>
        <w:t xml:space="preserve">No âmbito operacional, a Cobertura de Vigilância ATS apresentou incremento da média de 3,81, com 64% de aprovação, para 4,16, alcançando 80% de avaliações positivas, enquanto a Segurança contra atos de interferência ilícita atingiu média de 4,35, com 85% de aprovação, e as Informações Meteorológicas evoluíram para 4,37, com 84%. De forma complementar, outros serviços também registraram desempenho elevado, com a Cartografia Aeronáutica e o Serviço de Controle de Tráfego Aéreo alcançando médias de 4,44, ambos com 88% de aprovação, e a Segurança Operacional atingindo média de 4,46, com 89%. Destacam-se, ainda, as Informações Aeronáuticas, que obtiveram média de 4,48 e 89% de percepções positivas, e o Serviço de Busca e Salvamento (SAR), que apresentou o melhor desempenho do sistema, com média de 4,59 e 92% de avaliações favoráveis.</w:t>
      </w:r>
    </w:p>
    <w:tbl>
      <w:tblPr>
        <w:tblStyle w:val="Table"/>
        <w:tblW w:type="pct" w:w="5000"/>
        <w:tblLayout w:type="fixed"/>
        <w:tblLook w:firstRow="0" w:lastRow="0" w:firstColumn="0" w:lastColumn="0" w:noHBand="0" w:noVBand="0" w:val="0000"/>
      </w:tblPr>
      <w:tblGrid>
        <w:gridCol w:w="7920"/>
      </w:tblGrid>
      <w:tr>
        <w:tc>
          <w:tcPr/>
          <w:bookmarkStart w:id="429" w:name="fig-qualidade-sna-teste"/>
          <w:p>
            <w:pPr>
              <w:pStyle w:val="Compact"/>
              <w:jc w:val="center"/>
            </w:pPr>
            <w:r>
              <w:drawing>
                <wp:inline>
                  <wp:extent cx="6642100" cy="3795485"/>
                  <wp:effectExtent b="0" l="0" r="0" t="0"/>
                  <wp:docPr descr="" title="" id="427" name="Picture"/>
                  <a:graphic>
                    <a:graphicData uri="http://schemas.openxmlformats.org/drawingml/2006/picture">
                      <pic:pic>
                        <pic:nvPicPr>
                          <pic:cNvPr descr="03-Indicadores_files/figure-docx/fig-qualidade-sna-teste-1.png" id="428" name="Picture"/>
                          <pic:cNvPicPr>
                            <a:picLocks noChangeArrowheads="1" noChangeAspect="1"/>
                          </pic:cNvPicPr>
                        </pic:nvPicPr>
                        <pic:blipFill>
                          <a:blip r:embed="rId426"/>
                          <a:stretch>
                            <a:fillRect/>
                          </a:stretch>
                        </pic:blipFill>
                        <pic:spPr bwMode="auto">
                          <a:xfrm>
                            <a:off x="0" y="0"/>
                            <a:ext cx="6642100" cy="3795485"/>
                          </a:xfrm>
                          <a:prstGeom prst="rect">
                            <a:avLst/>
                          </a:prstGeom>
                          <a:noFill/>
                          <a:ln w="9525">
                            <a:noFill/>
                            <a:headEnd/>
                            <a:tailEnd/>
                          </a:ln>
                        </pic:spPr>
                      </pic:pic>
                    </a:graphicData>
                  </a:graphic>
                </wp:inline>
              </w:drawing>
            </w:r>
          </w:p>
          <w:p>
            <w:pPr>
              <w:jc w:val="center"/>
            </w:pPr>
            <w:pPr>
              <w:jc w:val="left"/>
              <w:spacing w:before="200"/>
              <w:pStyle w:val="ImageCaption"/>
            </w:pPr>
            <w:r>
              <w:t xml:space="preserve">Figura 3.44: Qualidade na Prestação dos SNA</w:t>
            </w:r>
          </w:p>
          <w:bookmarkEnd w:id="429"/>
        </w:tc>
      </w:tr>
    </w:tbl>
    <w:bookmarkEnd w:id="430"/>
    <w:bookmarkStart w:id="435" w:name="Xdd703f51556b32f85afec2e45a8d65129f1d8ea"/>
    <w:p>
      <w:pPr>
        <w:pStyle w:val="Ttulo4"/>
      </w:pPr>
      <w:r>
        <w:t xml:space="preserve">3.5.1.4 AVALIAÇÃO DA ORGANIZAÇÃO DO ESPAÇO AÉREO BRASILEIRO</w:t>
      </w:r>
    </w:p>
    <w:p>
      <w:pPr>
        <w:pStyle w:val="FirstParagraph"/>
      </w:pPr>
      <w:r>
        <w:t xml:space="preserve">A</w:t>
      </w:r>
      <w:r>
        <w:t xml:space="preserve"> </w:t>
      </w:r>
      <w:hyperlink w:anchor="fig-organizacao-espaco-aereo">
        <w:r>
          <w:rPr>
            <w:rStyle w:val="Hyperlink"/>
          </w:rPr>
          <w:t xml:space="preserve">Figura 3.45</w:t>
        </w:r>
      </w:hyperlink>
      <w:r>
        <w:t xml:space="preserve"> </w:t>
      </w:r>
      <w:r>
        <w:t xml:space="preserve">apresenta os resultados de 2025 evidenciam uma melhora consistente na avaliação da organização do espaço aéreo brasileiro em comparação a 2024. O percentual de respostas 4 e 5 aumentou de forma expressiva em todos os itens analisados, passando de 64% para 83% na Estrutura de rotas, de 68% para 87% nos Procedimentos de navegação aérea, que apresentou o melhor desempenho geral, e de 54% para 75% nas Restrições ou reservas de espaço aéreo, item que registrou o maior crescimento proporcional.Além disso, as médias na escala de 1 a 5 também evoluíram em 2025. A Estrutura de rotas passou de 4,03 para 4,29, os Procedimentos de navegação aérea de 4,11 para 4,38 e as Restrições de espaço aéreo de 3,82 para 4,05.</w:t>
      </w:r>
    </w:p>
    <w:tbl>
      <w:tblPr>
        <w:tblStyle w:val="Table"/>
        <w:tblW w:type="pct" w:w="5000"/>
        <w:tblLayout w:type="fixed"/>
        <w:tblLook w:firstRow="0" w:lastRow="0" w:firstColumn="0" w:lastColumn="0" w:noHBand="0" w:noVBand="0" w:val="0000"/>
      </w:tblPr>
      <w:tblGrid>
        <w:gridCol w:w="7920"/>
      </w:tblGrid>
      <w:tr>
        <w:tc>
          <w:tcPr/>
          <w:bookmarkStart w:id="434" w:name="fig-organizacao-espaco-aereo"/>
          <w:p>
            <w:pPr>
              <w:pStyle w:val="Compact"/>
              <w:jc w:val="center"/>
            </w:pPr>
            <w:r>
              <w:drawing>
                <wp:inline>
                  <wp:extent cx="6642100" cy="3795485"/>
                  <wp:effectExtent b="0" l="0" r="0" t="0"/>
                  <wp:docPr descr="" title="" id="432" name="Picture"/>
                  <a:graphic>
                    <a:graphicData uri="http://schemas.openxmlformats.org/drawingml/2006/picture">
                      <pic:pic>
                        <pic:nvPicPr>
                          <pic:cNvPr descr="03-Indicadores_files/figure-docx/fig-organizacao-espaco-aereo-1.png" id="433" name="Picture"/>
                          <pic:cNvPicPr>
                            <a:picLocks noChangeArrowheads="1" noChangeAspect="1"/>
                          </pic:cNvPicPr>
                        </pic:nvPicPr>
                        <pic:blipFill>
                          <a:blip r:embed="rId431"/>
                          <a:stretch>
                            <a:fillRect/>
                          </a:stretch>
                        </pic:blipFill>
                        <pic:spPr bwMode="auto">
                          <a:xfrm>
                            <a:off x="0" y="0"/>
                            <a:ext cx="6642100" cy="3795485"/>
                          </a:xfrm>
                          <a:prstGeom prst="rect">
                            <a:avLst/>
                          </a:prstGeom>
                          <a:noFill/>
                          <a:ln w="9525">
                            <a:noFill/>
                            <a:headEnd/>
                            <a:tailEnd/>
                          </a:ln>
                        </pic:spPr>
                      </pic:pic>
                    </a:graphicData>
                  </a:graphic>
                </wp:inline>
              </w:drawing>
            </w:r>
          </w:p>
          <w:p>
            <w:pPr>
              <w:jc w:val="center"/>
            </w:pPr>
            <w:pPr>
              <w:jc w:val="left"/>
              <w:spacing w:before="200"/>
              <w:pStyle w:val="ImageCaption"/>
            </w:pPr>
            <w:r>
              <w:t xml:space="preserve">Figura 3.45: Organização do Espaço Aéreo</w:t>
            </w:r>
          </w:p>
          <w:bookmarkEnd w:id="434"/>
        </w:tc>
      </w:tr>
    </w:tbl>
    <w:bookmarkEnd w:id="435"/>
    <w:bookmarkStart w:id="440" w:name="X83fbf25741b74fade53f76dae359efd20872fb2"/>
    <w:p>
      <w:pPr>
        <w:pStyle w:val="Ttulo4"/>
      </w:pPr>
      <w:r>
        <w:t xml:space="preserve">3.5.1.5 INCLUSÃO DA COMUNIDADE ATM NOS PROCESSOS DE PLANEJAMENTO, IMPLANTAÇÃO E OPERAÇÃO DO SISCEAB</w:t>
      </w:r>
    </w:p>
    <w:p>
      <w:pPr>
        <w:pStyle w:val="FirstParagraph"/>
      </w:pPr>
      <w:r>
        <w:t xml:space="preserve">A</w:t>
      </w:r>
      <w:r>
        <w:t xml:space="preserve"> </w:t>
      </w:r>
      <w:hyperlink w:anchor="fig-percepcao-comunidade">
        <w:r>
          <w:rPr>
            <w:rStyle w:val="Hyperlink"/>
          </w:rPr>
          <w:t xml:space="preserve">Figura 3.46</w:t>
        </w:r>
      </w:hyperlink>
      <w:r>
        <w:t xml:space="preserve"> </w:t>
      </w:r>
      <w:r>
        <w:t xml:space="preserve">evidencia uma melhoria na inclusão da comunidade ATM nos processos de planejamento, implantação e operação do SISCEAB, considerando os perfis analisados. As médias e o percentual de respostas 4 e 5 apresentaram crescimento generalizado, indicando melhora significativa na percepção dos respondentes.</w:t>
      </w:r>
    </w:p>
    <w:p>
      <w:pPr>
        <w:pStyle w:val="Corpodetexto"/>
      </w:pPr>
      <w:r>
        <w:t xml:space="preserve">Na média das avaliações, a Administração aeroportuária alcançou o melhor desempenho em 2025, passando de 3,48 para 4,00. Destacam-se também os avanços do Órgão regulador/normativo/governamental, que evoluiu de 2,80 para 3,53, e dos Aeronautas ou usuários do espaço aéreo, que passaram de 2,81 para 3,43. A categoria</w:t>
      </w:r>
      <w:r>
        <w:t xml:space="preserve"> </w:t>
      </w:r>
      <w:r>
        <w:t xml:space="preserve">“Outros”</w:t>
      </w:r>
      <w:r>
        <w:t xml:space="preserve"> </w:t>
      </w:r>
      <w:r>
        <w:t xml:space="preserve">apresentou um dos maiores crescimentos proporcionais, aumentando de 2,53 para 3,30. Já os Prestadores de serviço de navegação aérea evoluíram de 3,23 para 3,66, mantendo desempenho elevado em 2025.</w:t>
      </w:r>
    </w:p>
    <w:p>
      <w:pPr>
        <w:pStyle w:val="Corpodetexto"/>
      </w:pPr>
      <w:r>
        <w:t xml:space="preserve">O percentual de respostas 4 e 5 reforça esse movimento de melhora. A Administração aeroportuária avançou de 56% para 67%, enquanto o Órgão regulador/normativo/governamental cresceu de 40% para 59%. Os Aeronautas ou usuários do espaço aéreo registraram aumento de 34% para 51%, e a categoria</w:t>
      </w:r>
      <w:r>
        <w:t xml:space="preserve"> </w:t>
      </w:r>
      <w:r>
        <w:t xml:space="preserve">“Outros”</w:t>
      </w:r>
      <w:r>
        <w:t xml:space="preserve"> </w:t>
      </w:r>
      <w:r>
        <w:t xml:space="preserve">passou de 31% para 50%, evidenciando avanço expressivo nas avaliações positivas. Entre os Prestadores de serviço de navegação aérea, o percentual subiu de 49% para 63%, consolidando-se entre os melhores resultados do período.</w:t>
      </w:r>
    </w:p>
    <w:p>
      <w:pPr>
        <w:pStyle w:val="Corpodetexto"/>
      </w:pPr>
      <w:r>
        <w:t xml:space="preserve">A percepção de inclusão da Comunidade ATM nos projetos do DECEA apresenta evolução positiva e contínua em todos os perfis, com a Média Geral passando de 2,91 e atingindo 3,46 em 2025.</w:t>
      </w:r>
    </w:p>
    <w:tbl>
      <w:tblPr>
        <w:tblStyle w:val="Table"/>
        <w:tblW w:type="pct" w:w="5000"/>
        <w:tblLayout w:type="fixed"/>
        <w:tblLook w:firstRow="0" w:lastRow="0" w:firstColumn="0" w:lastColumn="0" w:noHBand="0" w:noVBand="0" w:val="0000"/>
      </w:tblPr>
      <w:tblGrid>
        <w:gridCol w:w="7920"/>
      </w:tblGrid>
      <w:tr>
        <w:tc>
          <w:tcPr/>
          <w:bookmarkStart w:id="439" w:name="fig-percepcao-comunidade"/>
          <w:p>
            <w:pPr>
              <w:pStyle w:val="Compact"/>
              <w:jc w:val="center"/>
            </w:pPr>
            <w:r>
              <w:drawing>
                <wp:inline>
                  <wp:extent cx="6642100" cy="2878243"/>
                  <wp:effectExtent b="0" l="0" r="0" t="0"/>
                  <wp:docPr descr="" title="" id="437" name="Picture"/>
                  <a:graphic>
                    <a:graphicData uri="http://schemas.openxmlformats.org/drawingml/2006/picture">
                      <pic:pic>
                        <pic:nvPicPr>
                          <pic:cNvPr descr="03-Indicadores_files/figure-docx/fig-percepcao-comunidade-1.png" id="438" name="Picture"/>
                          <pic:cNvPicPr>
                            <a:picLocks noChangeArrowheads="1" noChangeAspect="1"/>
                          </pic:cNvPicPr>
                        </pic:nvPicPr>
                        <pic:blipFill>
                          <a:blip r:embed="rId436"/>
                          <a:stretch>
                            <a:fillRect/>
                          </a:stretch>
                        </pic:blipFill>
                        <pic:spPr bwMode="auto">
                          <a:xfrm>
                            <a:off x="0" y="0"/>
                            <a:ext cx="6642100" cy="2878243"/>
                          </a:xfrm>
                          <a:prstGeom prst="rect">
                            <a:avLst/>
                          </a:prstGeom>
                          <a:noFill/>
                          <a:ln w="9525">
                            <a:noFill/>
                            <a:headEnd/>
                            <a:tailEnd/>
                          </a:ln>
                        </pic:spPr>
                      </pic:pic>
                    </a:graphicData>
                  </a:graphic>
                </wp:inline>
              </w:drawing>
            </w:r>
          </w:p>
          <w:p>
            <w:pPr>
              <w:jc w:val="center"/>
            </w:pPr>
            <w:pPr>
              <w:jc w:val="left"/>
              <w:spacing w:before="200"/>
              <w:pStyle w:val="ImageCaption"/>
            </w:pPr>
            <w:r>
              <w:t xml:space="preserve">Figura 3.46: Percepção sobre a inclusão da comunidade ATM nos processos de planejamento, implantação e operação do SISCEAB por perfil de atuação</w:t>
            </w:r>
          </w:p>
          <w:bookmarkEnd w:id="439"/>
        </w:tc>
      </w:tr>
    </w:tbl>
    <w:bookmarkEnd w:id="440"/>
    <w:bookmarkStart w:id="445" w:name="X918ed8a64b5d8426755578e40a4883c6476b674"/>
    <w:p>
      <w:pPr>
        <w:pStyle w:val="Ttulo4"/>
      </w:pPr>
      <w:r>
        <w:t xml:space="preserve">3.5.1.6 AVALIAÇÃO DAS IMPLEMENTAÇÕES RECENTES NO SISCEAB</w:t>
      </w:r>
    </w:p>
    <w:p>
      <w:pPr>
        <w:pStyle w:val="FirstParagraph"/>
      </w:pPr>
      <w:r>
        <w:t xml:space="preserve">A análise das implementações recentes no SISCEAB, considerando apenas o estrato de alta satisfação (notas 4 e 5), demonstra crescimento consistente na percepção de valor conforme as soluções ganham maior abrangência regional, indicando amadurecimento e aceitação progressiva das inovações pela comunidade ATM. Nesse contexto, a Ampliação das Rotas Diretas nas FIR Amazônica, Recife, Brasília e Curitiba destacou-se como a iniciativa de maior impacto, alcançando 87% de aprovação e média 4,42. De forma alinhada, a Área de Vetoração de Subida em Brasília registrou 84% de avaliações positivas, consolidando-se como referência em melhorias operacionais.</w:t>
      </w:r>
    </w:p>
    <w:p>
      <w:pPr>
        <w:pStyle w:val="Corpodetexto"/>
      </w:pPr>
      <w:r>
        <w:t xml:space="preserve">Entre as soluções tecnológicas e procedimentais, a CPDLC na FIR Curitiba atingiu 83% de satisfação, superando as Rotas UPR e o Agile GRU-RRSM, ambos com 81%, com médias variando entre 4,21 e 4,31, reforçando a confiabilidade das soluções baseadas em enlace de dados. A Centralização do Plano de Voo, apesar de apresentar o menor índice relativo, manteve resultado consistente, com 77% de aprovação e média 4,17, evidenciando aceitação positiva mesmo diante de seu caráter estrutural e administrativo.</w:t>
      </w:r>
    </w:p>
    <w:tbl>
      <w:tblPr>
        <w:tblStyle w:val="Table"/>
        <w:tblW w:type="pct" w:w="5000"/>
        <w:tblLayout w:type="fixed"/>
        <w:tblLook w:firstRow="0" w:lastRow="0" w:firstColumn="0" w:lastColumn="0" w:noHBand="0" w:noVBand="0" w:val="0000"/>
      </w:tblPr>
      <w:tblGrid>
        <w:gridCol w:w="7920"/>
      </w:tblGrid>
      <w:tr>
        <w:tc>
          <w:tcPr/>
          <w:bookmarkStart w:id="444" w:name="fig-avaliacoes-positivas-sisceab-teste"/>
          <w:p>
            <w:pPr>
              <w:pStyle w:val="Compact"/>
              <w:jc w:val="center"/>
            </w:pPr>
            <w:r>
              <w:drawing>
                <wp:inline>
                  <wp:extent cx="5977890" cy="2590419"/>
                  <wp:effectExtent b="0" l="0" r="0" t="0"/>
                  <wp:docPr descr="" title="" id="442" name="Picture"/>
                  <a:graphic>
                    <a:graphicData uri="http://schemas.openxmlformats.org/drawingml/2006/picture">
                      <pic:pic>
                        <pic:nvPicPr>
                          <pic:cNvPr descr="03-Indicadores_files/figure-docx/fig-avaliacoes-positivas-sisceab-teste-1.png" id="443" name="Picture"/>
                          <pic:cNvPicPr>
                            <a:picLocks noChangeArrowheads="1" noChangeAspect="1"/>
                          </pic:cNvPicPr>
                        </pic:nvPicPr>
                        <pic:blipFill>
                          <a:blip r:embed="rId441"/>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3.47: Percepção de inclusão da comunidade ATM nos processos do SISCEAB</w:t>
            </w:r>
          </w:p>
          <w:bookmarkEnd w:id="444"/>
        </w:tc>
      </w:tr>
    </w:tbl>
    <w:p>
      <w:pPr>
        <w:pStyle w:val="Corpodetexto"/>
      </w:pPr>
      <w:r>
        <w:t xml:space="preserve">Quanto às recentes mudanças implementadas no espaço aéreo brasileiro, os seguintes itens foram avaliados na pesquisa de satisfação: Rotas Diretas nas FIR Amazônica e Recife; Reestruturação da circulação aérea da TMA Curitiba e Florianópolis; CPDLC na FIR Brasília e Agile GRU - RRSM.</w:t>
      </w:r>
    </w:p>
    <w:bookmarkEnd w:id="445"/>
    <w:bookmarkStart w:id="450" w:name="Xc713ee34ac9938c757feaae972de2da9aa99b60"/>
    <w:p>
      <w:pPr>
        <w:pStyle w:val="Ttulo4"/>
      </w:pPr>
      <w:r>
        <w:t xml:space="preserve">3.5.1.7 AVALIAÇÃO DO GRAU DE SATISFAÇÃO COM O DECEA NA PRESTAÇÃO DE SERVIÇOS DE NAVEGAÇÃO AÉREA</w:t>
      </w:r>
    </w:p>
    <w:p>
      <w:pPr>
        <w:pStyle w:val="FirstParagraph"/>
      </w:pPr>
      <w:r>
        <w:t xml:space="preserve">Em 2025, observa-se melhora geral no grau de satisfação com o DECEA, com a média global passando de 4,13 em 2024 para 4,21 em 2025, evidenciando evolução positiva na percepção dos diferentes perfis avaliados. A Administração aeroportuária mantém nível máximo de satisfação (100% de avaliações 4–5) e atinge média 5,0, consolidando uma percepção extremamente positiva. Destaca-se também a evolução significativa dos Órgãos reguladores/normativos/governamentais, que apresentaram o maior crescimento tanto no percentual de avaliações 4–5 (70% para 82%) quanto na média (3,80 para 4,41), indicando fortalecimento do relacionamento institucional.</w:t>
      </w:r>
    </w:p>
    <w:p>
      <w:pPr>
        <w:pStyle w:val="Corpodetexto"/>
      </w:pPr>
      <w:r>
        <w:t xml:space="preserve">Os Prestadores de serviço de navegação aérea e os Aeronautas/usuários do espaço aéreo também registraram avanços, demonstrando melhora consistente na percepção operacional e na interação com o DECEA. O grupo</w:t>
      </w:r>
      <w:r>
        <w:t xml:space="preserve"> </w:t>
      </w:r>
      <w:r>
        <w:t xml:space="preserve">“Outros”</w:t>
      </w:r>
      <w:r>
        <w:t xml:space="preserve"> </w:t>
      </w:r>
      <w:r>
        <w:t xml:space="preserve">apresentou uma pequena variação em relação ao ano anterior, com leve redução no percentual de avaliações mais altas e na média, mantendo, ainda assim, patamar elevado de satisfação. De forma geral, os resultados indicam consolidação e avanço da satisfação em 2025, com evolução consistente na maioria dos públicos e manutenção de níveis elevados de avaliação institucional.</w:t>
      </w:r>
    </w:p>
    <w:tbl>
      <w:tblPr>
        <w:tblStyle w:val="Table"/>
        <w:tblW w:type="pct" w:w="5000"/>
        <w:tblLayout w:type="fixed"/>
        <w:tblLook w:firstRow="0" w:lastRow="0" w:firstColumn="0" w:lastColumn="0" w:noHBand="0" w:noVBand="0" w:val="0000"/>
      </w:tblPr>
      <w:tblGrid>
        <w:gridCol w:w="7920"/>
      </w:tblGrid>
      <w:tr>
        <w:tc>
          <w:tcPr/>
          <w:bookmarkStart w:id="449" w:name="fig-grau-satisfacao-dece-teste"/>
          <w:p>
            <w:pPr>
              <w:pStyle w:val="Compact"/>
              <w:jc w:val="center"/>
            </w:pPr>
            <w:r>
              <w:drawing>
                <wp:inline>
                  <wp:extent cx="5977890" cy="2590419"/>
                  <wp:effectExtent b="0" l="0" r="0" t="0"/>
                  <wp:docPr descr="" title="" id="447" name="Picture"/>
                  <a:graphic>
                    <a:graphicData uri="http://schemas.openxmlformats.org/drawingml/2006/picture">
                      <pic:pic>
                        <pic:nvPicPr>
                          <pic:cNvPr descr="03-Indicadores_files/figure-docx/fig-grau-satisfacao-dece-teste-1.png" id="448" name="Picture"/>
                          <pic:cNvPicPr>
                            <a:picLocks noChangeArrowheads="1" noChangeAspect="1"/>
                          </pic:cNvPicPr>
                        </pic:nvPicPr>
                        <pic:blipFill>
                          <a:blip r:embed="rId446"/>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3.48: Grau de Satisfação com o DECEA</w:t>
            </w:r>
          </w:p>
          <w:bookmarkEnd w:id="449"/>
        </w:tc>
      </w:tr>
    </w:tbl>
    <w:p>
      <w:pPr>
        <w:pStyle w:val="Corpodetexto"/>
      </w:pPr>
      <w:r>
        <w:t xml:space="preserve">A pesquisa de satisfação de 2025 evidenciou a percepção positiva da Comunidade ATM quanto à qualidade dos serviços prestados pelo DECEA. Destacaram-se a boa avaliação dos produtos disponibilizados, da organização do espaço aéreo e da participação dos usuários nos processos decisórios. Além disso, a satisfação geral com o DECEA apresentou crescimento, refletindo os resultados das iniciativas implementadas ao longo do período. Esses resultados reforçam a importância do diálogo permanente com as partes interessadas e da adoção de práticas colaborativas, fundamentais para assegurar um sistema cada vez mais eficiente, seguro e alinhado às expectativas do setor.</w:t>
      </w:r>
    </w:p>
    <w:bookmarkEnd w:id="450"/>
    <w:bookmarkEnd w:id="451"/>
    <w:bookmarkEnd w:id="452"/>
    <w:bookmarkStart w:id="482" w:name="segurança-operacional"/>
    <w:p>
      <w:pPr>
        <w:pStyle w:val="Ttulo2"/>
      </w:pPr>
      <w:r>
        <w:t xml:space="preserve">3.6 SEGURANÇA OPERACIONAL</w:t>
      </w:r>
    </w:p>
    <w:p>
      <w:pPr>
        <w:pStyle w:val="FirstParagraph"/>
      </w:pPr>
      <w:r>
        <w:t xml:space="preserve">Um sistema de aviação seguro, resiliente e sustentável contribui para o desenvolvimento econômico dos países e suas indústrias. Desse modo, na última edição do GANP foram inseridos quatro indicadores de performance chave para a KPA – Segurança Operacional:</w:t>
      </w:r>
    </w:p>
    <w:p>
      <w:pPr>
        <w:pStyle w:val="Compact"/>
        <w:numPr>
          <w:ilvl w:val="0"/>
          <w:numId w:val="1003"/>
        </w:numPr>
      </w:pPr>
      <w:r>
        <w:t xml:space="preserve">KPI 20 –</w:t>
      </w:r>
      <w:r>
        <w:t xml:space="preserve"> </w:t>
      </w:r>
      <w:r>
        <w:rPr>
          <w:i/>
          <w:iCs/>
        </w:rPr>
        <w:t xml:space="preserve">Aircraft Accidents</w:t>
      </w:r>
      <w:r>
        <w:t xml:space="preserve">;</w:t>
      </w:r>
    </w:p>
    <w:p>
      <w:pPr>
        <w:pStyle w:val="Compact"/>
        <w:numPr>
          <w:ilvl w:val="0"/>
          <w:numId w:val="1003"/>
        </w:numPr>
      </w:pPr>
      <w:r>
        <w:t xml:space="preserve">KPI 21 –</w:t>
      </w:r>
      <w:r>
        <w:t xml:space="preserve"> </w:t>
      </w:r>
      <w:r>
        <w:rPr>
          <w:i/>
          <w:iCs/>
        </w:rPr>
        <w:t xml:space="preserve">Runway Incursion</w:t>
      </w:r>
      <w:r>
        <w:t xml:space="preserve">;</w:t>
      </w:r>
    </w:p>
    <w:p>
      <w:pPr>
        <w:pStyle w:val="Compact"/>
        <w:numPr>
          <w:ilvl w:val="0"/>
          <w:numId w:val="1003"/>
        </w:numPr>
      </w:pPr>
      <w:r>
        <w:t xml:space="preserve">KPI 22 –</w:t>
      </w:r>
      <w:r>
        <w:t xml:space="preserve"> </w:t>
      </w:r>
      <w:r>
        <w:rPr>
          <w:i/>
          <w:iCs/>
        </w:rPr>
        <w:t xml:space="preserve">Runway Excursion</w:t>
      </w:r>
      <w:r>
        <w:t xml:space="preserve">; e</w:t>
      </w:r>
    </w:p>
    <w:p>
      <w:pPr>
        <w:pStyle w:val="Compact"/>
        <w:numPr>
          <w:ilvl w:val="0"/>
          <w:numId w:val="1003"/>
        </w:numPr>
      </w:pPr>
      <w:r>
        <w:t xml:space="preserve">KPI 23 –</w:t>
      </w:r>
      <w:r>
        <w:t xml:space="preserve"> </w:t>
      </w:r>
      <w:r>
        <w:rPr>
          <w:i/>
          <w:iCs/>
        </w:rPr>
        <w:t xml:space="preserve">Airprox/TCAS RA/Loss of Separation/Near Mid Air Collision/Mid Air Collision</w:t>
      </w:r>
      <w:r>
        <w:t xml:space="preserve">.</w:t>
      </w:r>
    </w:p>
    <w:p>
      <w:pPr>
        <w:pStyle w:val="FirstParagraph"/>
      </w:pPr>
      <w:r>
        <w:t xml:space="preserve">Compete à Assessoria de Segurança Operacional no Controle do Espaço Aéreo (ASEGCEA), componente da estrutura do DECEA, planejar, coordenar e supervisionar as atividades de segurança operacional do Sistema de Controle do Espaço Aéreo Brasileiro (SISCEAB), bem como aquelas afetas ao fator humano.</w:t>
      </w:r>
    </w:p>
    <w:p>
      <w:pPr>
        <w:pStyle w:val="Corpodetexto"/>
      </w:pPr>
      <w:r>
        <w:t xml:space="preserve">O DECEA monitora os indicadores referentes aos Serviços de Tráfego Aéreo prestados no SISCEAB, tais como Número de Incursões em Pista (RI –</w:t>
      </w:r>
      <w:r>
        <w:t xml:space="preserve"> </w:t>
      </w:r>
      <w:r>
        <w:rPr>
          <w:i/>
          <w:iCs/>
        </w:rPr>
        <w:t xml:space="preserve">Runway Incursion</w:t>
      </w:r>
      <w:r>
        <w:t xml:space="preserve">), alertas TCAS RA (</w:t>
      </w:r>
      <w:r>
        <w:rPr>
          <w:i/>
          <w:iCs/>
        </w:rPr>
        <w:t xml:space="preserve">Resolution Advisory</w:t>
      </w:r>
      <w:r>
        <w:t xml:space="preserve">), Incidentes de Tráfego Aéreo classificados como Risco Potencial (</w:t>
      </w:r>
      <w:r>
        <w:rPr>
          <w:i/>
          <w:iCs/>
        </w:rPr>
        <w:t xml:space="preserve">Loss Of Separation</w:t>
      </w:r>
      <w:r>
        <w:t xml:space="preserve">) e Incidentes de Tráfego Aéreo classificados como Risco Crítico (</w:t>
      </w:r>
      <w:r>
        <w:rPr>
          <w:i/>
          <w:iCs/>
        </w:rPr>
        <w:t xml:space="preserve">Near Mid Air Collision</w:t>
      </w:r>
      <w:r>
        <w:t xml:space="preserve">), deixando a cargo do Centro de Investigação e Prevenção de Acidentes Aeronáuticos (CENIPA) os indicadores que tratam de atividades de investigação de acidentes aeronáuticos da aviação civil e da Força Aérea Brasileira.</w:t>
      </w:r>
    </w:p>
    <w:p>
      <w:pPr>
        <w:pStyle w:val="Corpodetexto"/>
      </w:pPr>
      <w:r>
        <w:t xml:space="preserve">De acordo com a ICA 81-1/2023 (itens 3.1.1, 3.1.5 e 3.3.1), as ocorrências de tráfego aéreo podem ser reclassificadas pela ASEGCEA ou pelas SIPACEA caso a classificação inicial se mostre inadequada. Por esse motivo, os dados deste relatório podem diferir de levantamentos posteriores que já considerem essas eventuais atualizações.</w:t>
      </w:r>
    </w:p>
    <w:bookmarkStart w:id="457" w:name="kpi-21---número-de-incursões-em-pista"/>
    <w:p>
      <w:pPr>
        <w:pStyle w:val="Ttulo3"/>
      </w:pPr>
      <w:r>
        <w:t xml:space="preserve">3.6.1 KPI 21 - NÚMERO DE INCURSÕES EM PISTA</w:t>
      </w:r>
    </w:p>
    <w:p>
      <w:pPr>
        <w:pStyle w:val="FirstParagraph"/>
      </w:pPr>
      <w:r>
        <w:t xml:space="preserve">Incursão em pista (RI) é toda ocorrência em aeródromo constituída pela presença incorreta de aeronave, veículo ou pessoa na zona protegida de uma superfície designada para o pouso ou para a decolagem de uma aeronave, segundo dispõe a ICA 81-4 (Programa para prevenção de ocorrências de incursão em pista na prestação dos Serviços de Tráfego Aéreo).</w:t>
      </w:r>
    </w:p>
    <w:p>
      <w:pPr>
        <w:pStyle w:val="Corpodetexto"/>
      </w:pPr>
      <w:r>
        <w:t xml:space="preserve">As ocorrências de RI têm o seu reporte classificado como mandatório pelos Órgãos ATS, incluindo todas as Torres de Controles e Rádios do SISCEAB.</w:t>
      </w:r>
    </w:p>
    <w:p>
      <w:pPr>
        <w:pStyle w:val="Corpodetexto"/>
      </w:pPr>
      <w:r>
        <w:t xml:space="preserve">Os reportes oriundos dos Controladores de Tráfego Aéreo (ATCO), dos Operadores de Estação Aeronáutica (Rádio) e dos reportes voluntários são registrados no Sistema de Informações Gerenciais do Subsistema de Segurança Operacional do SISCEAB (SIGCEA) e monitorados continuamente para que não ultrapassem os Níveis de Alerta das metas estipuladas para cada PSNA. Caso contrário, são implementadas medidas mitigadoras no sentido de conter a progressão dos eventos considerados indesejáveis visando manter o Nível Aceitável de Desempenho de Segurança Operacional (NADSO) do PSNA.</w:t>
      </w:r>
    </w:p>
    <w:p>
      <w:pPr>
        <w:pStyle w:val="Corpodetexto"/>
      </w:pPr>
      <w:r>
        <w:t xml:space="preserve">A</w:t>
      </w:r>
      <w:r>
        <w:t xml:space="preserve"> </w:t>
      </w:r>
      <w:hyperlink w:anchor="fig-Figura-AA">
        <w:r>
          <w:rPr>
            <w:rStyle w:val="Hyperlink"/>
          </w:rPr>
          <w:t xml:space="preserve">Figura 3.49</w:t>
        </w:r>
      </w:hyperlink>
      <w:r>
        <w:t xml:space="preserve"> </w:t>
      </w:r>
      <w:r>
        <w:t xml:space="preserve">- gráfico Incursão em Pista (mensal) apresenta os valores absolutos mensais de ocorrência de incursões em pista, comparativamente em relação a ao triênio 2023 e 2025.</w:t>
      </w:r>
    </w:p>
    <w:tbl>
      <w:tblPr>
        <w:tblStyle w:val="Table"/>
        <w:tblW w:type="pct" w:w="5000"/>
        <w:tblLayout w:type="fixed"/>
        <w:tblLook w:firstRow="0" w:lastRow="0" w:firstColumn="0" w:lastColumn="0" w:noHBand="0" w:noVBand="0" w:val="0000"/>
      </w:tblPr>
      <w:tblGrid>
        <w:gridCol w:w="7920"/>
      </w:tblGrid>
      <w:tr>
        <w:tc>
          <w:tcPr/>
          <w:bookmarkStart w:id="456" w:name="fig-Figura-AA"/>
          <w:p>
            <w:pPr>
              <w:pStyle w:val="Compact"/>
              <w:jc w:val="center"/>
            </w:pPr>
            <w:r>
              <w:drawing>
                <wp:inline>
                  <wp:extent cx="5977890" cy="2590419"/>
                  <wp:effectExtent b="0" l="0" r="0" t="0"/>
                  <wp:docPr descr="" title="" id="454" name="Picture"/>
                  <a:graphic>
                    <a:graphicData uri="http://schemas.openxmlformats.org/drawingml/2006/picture">
                      <pic:pic>
                        <pic:nvPicPr>
                          <pic:cNvPr descr="03-Indicadores_files/figure-docx/fig-Figura-AA-1.png" id="455" name="Picture"/>
                          <pic:cNvPicPr>
                            <a:picLocks noChangeArrowheads="1" noChangeAspect="1"/>
                          </pic:cNvPicPr>
                        </pic:nvPicPr>
                        <pic:blipFill>
                          <a:blip r:embed="rId453"/>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3.49: Incursão em Pista</w:t>
            </w:r>
          </w:p>
          <w:bookmarkEnd w:id="456"/>
        </w:tc>
      </w:tr>
    </w:tbl>
    <w:p>
      <w:pPr>
        <w:pStyle w:val="Corpodetexto"/>
      </w:pPr>
      <w:r>
        <w:t xml:space="preserve">Ainda nesse contexto,</w:t>
      </w:r>
      <w:r>
        <w:t xml:space="preserve"> </w:t>
      </w:r>
      <w:hyperlink w:anchor="fig-Figura-AA">
        <w:r>
          <w:rPr>
            <w:rStyle w:val="Hyperlink"/>
          </w:rPr>
          <w:t xml:space="preserve">Figura 3.49</w:t>
        </w:r>
      </w:hyperlink>
      <w:r>
        <w:t xml:space="preserve"> </w:t>
      </w:r>
      <w:r>
        <w:t xml:space="preserve">- gráfico Incursão em Pista por tipo de Órgão apresenta para o triênio 2023-2025, os valores totais de incursões em pista, estratificando aquelas ocorridas em área de responsabilidade de Controles de Aproximação (APP), Torres de Controle de Aeródromo (TWR) e aquelas em área de responsabilidade de Rádios, órgãos prestadores do Serviço de Informação de Voo de Aeródromo (AFIS).</w:t>
      </w:r>
    </w:p>
    <w:p>
      <w:pPr>
        <w:pStyle w:val="Corpodetexto"/>
      </w:pPr>
      <w:r>
        <w:t xml:space="preserve">Pelos dados apresentados, verifica-se uma significativa queda no número de incursões em pista no ano de 2025, em relação a 2024. Tal diminuição pode também ser verificada no gráfico à direita na Figura 3.54 denominado Indicador de Desempenho da Segurança Operacional – IDSO, o qual traz o valor de 0.78.</w:t>
      </w:r>
    </w:p>
    <w:p>
      <w:pPr>
        <w:pStyle w:val="Corpodetexto"/>
      </w:pPr>
      <w:r>
        <w:t xml:space="preserve">A apresentação dos gráficos na base de 100.000 movimentos auxilia na observação da evolução dos dados ao longo dos anos considerando sua disposição em uma mesma base e acompanhando a demanda, o que minimiza distorções estatísticas em razão do movimento de tráfego aéreo. Em 2025, o valor se manteve estável em relação a 2024.</w:t>
      </w:r>
    </w:p>
    <w:p>
      <w:pPr>
        <w:pStyle w:val="Corpodetexto"/>
      </w:pPr>
      <w:r>
        <w:t xml:space="preserve">O gráfico Indicador de Desempenho da Segurança Operacional – IDSO apresenta o valor do IDSO RI nos últimos 3 anos bem como a meta para 2025 que é equivalente a uma redução de 2% em relação ao ano anterior.</w:t>
      </w:r>
    </w:p>
    <w:bookmarkEnd w:id="457"/>
    <w:bookmarkStart w:id="466" w:name="alerta-tcas-ra"/>
    <w:p>
      <w:pPr>
        <w:pStyle w:val="Ttulo3"/>
      </w:pPr>
      <w:r>
        <w:t xml:space="preserve">3.6.2 ALERTA TCAS RA</w:t>
      </w:r>
    </w:p>
    <w:p>
      <w:pPr>
        <w:pStyle w:val="FirstParagraph"/>
      </w:pPr>
      <w:r>
        <w:t xml:space="preserve">O Alerta TCAS RA é uma indicação dada à tripulação da aeronave recomendando uma manobra para prover separação de ameaças ou uma restrição a qualquer manobra, visando manter a separação existente.</w:t>
      </w:r>
    </w:p>
    <w:p>
      <w:pPr>
        <w:pStyle w:val="Corpodetexto"/>
      </w:pPr>
      <w:r>
        <w:t xml:space="preserve">Assim como as ocorrências de RI, os avisos de TCAS RA reportados pelos pilotos são mandatoriamente inseridos no SIGCEA, analisados e monitorados para que não ultrapassem os níveis de alerta definidos para cada PSNA.</w:t>
      </w:r>
    </w:p>
    <w:p>
      <w:pPr>
        <w:pStyle w:val="Corpodetexto"/>
      </w:pPr>
      <w:r>
        <w:t xml:space="preserve">A</w:t>
      </w:r>
      <w:r>
        <w:t xml:space="preserve"> </w:t>
      </w:r>
      <w:hyperlink w:anchor="fig-Figura-FF">
        <w:r>
          <w:rPr>
            <w:rStyle w:val="Hyperlink"/>
          </w:rPr>
          <w:t xml:space="preserve">Figura 3.50</w:t>
        </w:r>
      </w:hyperlink>
      <w:r>
        <w:t xml:space="preserve"> </w:t>
      </w:r>
      <w:r>
        <w:t xml:space="preserve">- gráfico Aviso de Resolução (mensal) apresenta os valores absolutos mensais de ocorrência de avisos de resolução, comparativamente em relação ao triênio 2023-2025.</w:t>
      </w:r>
    </w:p>
    <w:tbl>
      <w:tblPr>
        <w:tblStyle w:val="Table"/>
        <w:tblW w:type="pct" w:w="5000"/>
        <w:tblLayout w:type="fixed"/>
        <w:tblLook w:firstRow="0" w:lastRow="0" w:firstColumn="0" w:lastColumn="0" w:noHBand="0" w:noVBand="0" w:val="0000"/>
      </w:tblPr>
      <w:tblGrid>
        <w:gridCol w:w="7920"/>
      </w:tblGrid>
      <w:tr>
        <w:tc>
          <w:tcPr/>
          <w:bookmarkStart w:id="461" w:name="fig-Figura-FF"/>
          <w:p>
            <w:pPr>
              <w:pStyle w:val="Compact"/>
              <w:jc w:val="center"/>
            </w:pPr>
            <w:r>
              <w:drawing>
                <wp:inline>
                  <wp:extent cx="5977890" cy="2590419"/>
                  <wp:effectExtent b="0" l="0" r="0" t="0"/>
                  <wp:docPr descr="" title="" id="459" name="Picture"/>
                  <a:graphic>
                    <a:graphicData uri="http://schemas.openxmlformats.org/drawingml/2006/picture">
                      <pic:pic>
                        <pic:nvPicPr>
                          <pic:cNvPr descr="03-Indicadores_files/figure-docx/fig-Figura-FF-1.png" id="460" name="Picture"/>
                          <pic:cNvPicPr>
                            <a:picLocks noChangeArrowheads="1" noChangeAspect="1"/>
                          </pic:cNvPicPr>
                        </pic:nvPicPr>
                        <pic:blipFill>
                          <a:blip r:embed="rId458"/>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3.50: Aviso de Resolução</w:t>
            </w:r>
          </w:p>
          <w:bookmarkEnd w:id="461"/>
        </w:tc>
      </w:tr>
    </w:tbl>
    <w:p>
      <w:pPr>
        <w:pStyle w:val="Corpodetexto"/>
      </w:pPr>
      <w:r>
        <w:t xml:space="preserve">Ao se observar os números absolutos de ocorrências de RA no SISCEAB nos anos de 2023 a 2025, conforme</w:t>
      </w:r>
      <w:r>
        <w:t xml:space="preserve"> </w:t>
      </w:r>
      <w:hyperlink w:anchor="fig-Figura-FF">
        <w:r>
          <w:rPr>
            <w:rStyle w:val="Hyperlink"/>
          </w:rPr>
          <w:t xml:space="preserve">Figura 3.50</w:t>
        </w:r>
      </w:hyperlink>
      <w:r>
        <w:t xml:space="preserve"> </w:t>
      </w:r>
      <w:r>
        <w:t xml:space="preserve">- gráfico Avisos de Resolução por tipo de Órgão, nota-se que o número de alertas nos ACC vem diminuindo ao longo dos três últimos dos anos, enquanto nas Rádios houve aumento comparando-se 2024 com 2025.</w:t>
      </w:r>
    </w:p>
    <w:p>
      <w:pPr>
        <w:pStyle w:val="Corpodetexto"/>
      </w:pPr>
      <w:r>
        <w:t xml:space="preserve">Ao verificarmos o número de RA a cada 100.000 movimentos, percebe-se que houve redução em 2025, quando comparado com 2024. Tal dado é apresentado pela</w:t>
      </w:r>
      <w:r>
        <w:t xml:space="preserve"> </w:t>
      </w:r>
      <w:hyperlink w:anchor="fig-Figura-FF">
        <w:r>
          <w:rPr>
            <w:rStyle w:val="Hyperlink"/>
          </w:rPr>
          <w:t xml:space="preserve">Figura 3.50</w:t>
        </w:r>
      </w:hyperlink>
      <w:r>
        <w:t xml:space="preserve"> </w:t>
      </w:r>
      <w:r>
        <w:t xml:space="preserve">- gráfico Avisos de Resolução / 100k movimentos.</w:t>
      </w:r>
    </w:p>
    <w:p>
      <w:pPr>
        <w:pStyle w:val="Corpodetexto"/>
      </w:pPr>
      <w:r>
        <w:t xml:space="preserve">A</w:t>
      </w:r>
      <w:r>
        <w:t xml:space="preserve"> </w:t>
      </w:r>
      <w:hyperlink w:anchor="fig-Figura-II">
        <w:r>
          <w:rPr>
            <w:rStyle w:val="Hyperlink"/>
          </w:rPr>
          <w:t xml:space="preserve">Figura 3.51</w:t>
        </w:r>
      </w:hyperlink>
      <w:r>
        <w:t xml:space="preserve"> </w:t>
      </w:r>
      <w:r>
        <w:t xml:space="preserve">detalha a quantidade mensal de eventos de RA por tipo de órgão ATS no último ano. O maior valor para o ACC foi 4, nos meses de abril e junho. Para os APP, destacam-se os números dos meses de fevereiro, abril e junho com 9, 8 e 7 eventos, respectivamente. Houve, também, o registro de eventos para AFIS; já para TWR, o mês com a maior representatividade foi abril, ocasião em que foram registrados 5 eventos.</w:t>
      </w:r>
    </w:p>
    <w:tbl>
      <w:tblPr>
        <w:tblStyle w:val="Table"/>
        <w:tblW w:type="pct" w:w="5000"/>
        <w:tblLayout w:type="fixed"/>
        <w:tblLook w:firstRow="0" w:lastRow="0" w:firstColumn="0" w:lastColumn="0" w:noHBand="0" w:noVBand="0" w:val="0000"/>
      </w:tblPr>
      <w:tblGrid>
        <w:gridCol w:w="7920"/>
      </w:tblGrid>
      <w:tr>
        <w:tc>
          <w:tcPr/>
          <w:bookmarkStart w:id="465" w:name="fig-Figura-II"/>
          <w:p>
            <w:pPr>
              <w:pStyle w:val="Compact"/>
              <w:jc w:val="center"/>
            </w:pPr>
            <w:r>
              <w:drawing>
                <wp:inline>
                  <wp:extent cx="5977890" cy="2590419"/>
                  <wp:effectExtent b="0" l="0" r="0" t="0"/>
                  <wp:docPr descr="" title="" id="463" name="Picture"/>
                  <a:graphic>
                    <a:graphicData uri="http://schemas.openxmlformats.org/drawingml/2006/picture">
                      <pic:pic>
                        <pic:nvPicPr>
                          <pic:cNvPr descr="03-Indicadores_files/figure-docx/fig-Figura-II-1.png" id="464" name="Picture"/>
                          <pic:cNvPicPr>
                            <a:picLocks noChangeArrowheads="1" noChangeAspect="1"/>
                          </pic:cNvPicPr>
                        </pic:nvPicPr>
                        <pic:blipFill>
                          <a:blip r:embed="rId462"/>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3.51: Avisos de Resolução Mensal por Órgão ATS Fonte: SIGCEA</w:t>
            </w:r>
          </w:p>
          <w:bookmarkEnd w:id="465"/>
        </w:tc>
      </w:tr>
    </w:tbl>
    <w:p>
      <w:pPr>
        <w:pStyle w:val="Corpodetexto"/>
      </w:pPr>
      <w:r>
        <w:t xml:space="preserve">Dentre as medidas aplicadas para a manutenção do nível de segurança dos PSNA com relação aos eventos TCAS RA, o DECEA vem atuando na capacitação contínua dos Controladores de Tráfego Aéreo, em ajustes na circulação aérea e em grupos colaborativos de segurança operacional com a participação de representantes da Comunidade ATM nacional.</w:t>
      </w:r>
    </w:p>
    <w:p>
      <w:pPr>
        <w:pStyle w:val="Corpodetexto"/>
      </w:pPr>
      <w:r>
        <w:t xml:space="preserve">A</w:t>
      </w:r>
      <w:r>
        <w:t xml:space="preserve"> </w:t>
      </w:r>
      <w:hyperlink w:anchor="fig-Figura-FF">
        <w:r>
          <w:rPr>
            <w:rStyle w:val="Hyperlink"/>
          </w:rPr>
          <w:t xml:space="preserve">Figura 3.50</w:t>
        </w:r>
      </w:hyperlink>
      <w:r>
        <w:t xml:space="preserve"> </w:t>
      </w:r>
      <w:r>
        <w:t xml:space="preserve">- gráfico Indicador de Desempenho da Segurança Operacional – IDSO apresenta o valor do IDSO RA nos últimos 3 anos bem como a meta para 2025 que é equivalente a uma redução de 2% em relação ao ano anterior.</w:t>
      </w:r>
    </w:p>
    <w:bookmarkEnd w:id="466"/>
    <w:bookmarkStart w:id="471" w:name="X5f0dda6ed26dbabe1892719d1d23788f57ec75a"/>
    <w:p>
      <w:pPr>
        <w:pStyle w:val="Ttulo3"/>
      </w:pPr>
      <w:r>
        <w:t xml:space="preserve">3.6.3 KPI 23 - INCIDENTE CLASSIFICADO COMO RISCO POTENCIAL</w:t>
      </w:r>
    </w:p>
    <w:p>
      <w:pPr>
        <w:pStyle w:val="FirstParagraph"/>
      </w:pPr>
      <w:r>
        <w:t xml:space="preserve">O incidente de tráfego aéreo de risco potencial se caracteriza pela condição na qual a proximidade entre aeronaves ou entre aeronaves e obstáculos tenha resultado em separação menor que o mínimo estabelecido pelas normas vigentes sem, contudo, atingir a condição de risco crítico.</w:t>
      </w:r>
    </w:p>
    <w:p>
      <w:pPr>
        <w:pStyle w:val="Corpodetexto"/>
      </w:pPr>
      <w:r>
        <w:t xml:space="preserve">Os incidentes de risco potencial são investigados por meio dos Relatórios de Investigação do Controle do Espaço Aéreo (RICEA) e têm por objetivo identificar fatores contribuintes e gerar recomendações de segurança operacional (RSO), que objetivam a eliminação ou a mitigação dos riscos apontados. A execução e o cumprimento das RSO são controlados pelos respectivos elos de segurança operacional.</w:t>
      </w:r>
    </w:p>
    <w:p>
      <w:pPr>
        <w:pStyle w:val="Corpodetexto"/>
      </w:pPr>
      <w:r>
        <w:t xml:space="preserve">A</w:t>
      </w:r>
      <w:r>
        <w:t xml:space="preserve"> </w:t>
      </w:r>
      <w:hyperlink w:anchor="fig-Figura-KKK">
        <w:r>
          <w:rPr>
            <w:rStyle w:val="Hyperlink"/>
          </w:rPr>
          <w:t xml:space="preserve">Figura 3.52</w:t>
        </w:r>
      </w:hyperlink>
      <w:r>
        <w:t xml:space="preserve"> </w:t>
      </w:r>
      <w:r>
        <w:t xml:space="preserve">- gráfico Risco Potencial Mensal (SISCEAB) apresenta os valores absolutos mensais de ocorrência de Incidentes de Tráfego Aéreo de Risco Potencial, comparativamente em relação ao triênio 2023-2025.</w:t>
      </w:r>
    </w:p>
    <w:tbl>
      <w:tblPr>
        <w:tblStyle w:val="Table"/>
        <w:tblW w:type="pct" w:w="5000"/>
        <w:tblLayout w:type="fixed"/>
        <w:tblLook w:firstRow="0" w:lastRow="0" w:firstColumn="0" w:lastColumn="0" w:noHBand="0" w:noVBand="0" w:val="0000"/>
      </w:tblPr>
      <w:tblGrid>
        <w:gridCol w:w="7920"/>
      </w:tblGrid>
      <w:tr>
        <w:tc>
          <w:tcPr/>
          <w:bookmarkStart w:id="470" w:name="fig-Figura-KKK"/>
          <w:p>
            <w:pPr>
              <w:pStyle w:val="Compact"/>
              <w:jc w:val="center"/>
            </w:pPr>
            <w:r>
              <w:drawing>
                <wp:inline>
                  <wp:extent cx="5977890" cy="2590419"/>
                  <wp:effectExtent b="0" l="0" r="0" t="0"/>
                  <wp:docPr descr="" title="" id="468" name="Picture"/>
                  <a:graphic>
                    <a:graphicData uri="http://schemas.openxmlformats.org/drawingml/2006/picture">
                      <pic:pic>
                        <pic:nvPicPr>
                          <pic:cNvPr descr="03-Indicadores_files/figure-docx/fig-Figura-KKK-1.png" id="469" name="Picture"/>
                          <pic:cNvPicPr>
                            <a:picLocks noChangeArrowheads="1" noChangeAspect="1"/>
                          </pic:cNvPicPr>
                        </pic:nvPicPr>
                        <pic:blipFill>
                          <a:blip r:embed="rId467"/>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3.52: Incidente de Tráfego Aéreo de Risco Potencial</w:t>
            </w:r>
          </w:p>
          <w:bookmarkEnd w:id="470"/>
        </w:tc>
      </w:tr>
    </w:tbl>
    <w:p>
      <w:pPr>
        <w:pStyle w:val="Corpodetexto"/>
      </w:pPr>
      <w:r>
        <w:t xml:space="preserve">A</w:t>
      </w:r>
      <w:r>
        <w:t xml:space="preserve"> </w:t>
      </w:r>
      <w:hyperlink w:anchor="fig-Figura-KKK">
        <w:r>
          <w:rPr>
            <w:rStyle w:val="Hyperlink"/>
          </w:rPr>
          <w:t xml:space="preserve">Figura 3.52</w:t>
        </w:r>
      </w:hyperlink>
      <w:r>
        <w:t xml:space="preserve"> </w:t>
      </w:r>
      <w:r>
        <w:t xml:space="preserve">- gráfico Risco Potencial Mensal por Órgão ATC em 2025 apresenta os valores totais de Incidentes de Tráfego Aéreo de Risco Potencial em 2025, estratificando aqueles ocorridos em área de responsabilidade de Torres de Controle de Aeródromo, Controle de Aproximação e Centro de Controle de Área. Além disso, o gráfico Risco Potencial Anual (Órgão) traz a distribuição dos Incidentes de Tráfego Aéreo de Risco Potencial por tipo de órgão ATC nos últimos 3 anos. Por fim, o gráfico Indicador de Desempenho da segurança Operacional – IDSO mostra o comportamento do IDSO ao longo dos 3 últimos anos evidenciando que, a partir de 2023, houve sucessivos aumentos que inviabilizaram manter-se abaixo da meta pretendida.</w:t>
      </w:r>
    </w:p>
    <w:bookmarkEnd w:id="471"/>
    <w:bookmarkStart w:id="476" w:name="Xfeded4ebf4f14b278eb3e7d6ff35284dde076fb"/>
    <w:p>
      <w:pPr>
        <w:pStyle w:val="Ttulo3"/>
      </w:pPr>
      <w:r>
        <w:t xml:space="preserve">3.6.4 KPI 23 - INCIDENTE CLASSIFICADO COMO RISCO CRÍTICO</w:t>
      </w:r>
    </w:p>
    <w:p>
      <w:pPr>
        <w:pStyle w:val="FirstParagraph"/>
      </w:pPr>
      <w:r>
        <w:t xml:space="preserve">O incidente de tráfego aéreo de risco crítico se caracteriza pela condição na qual um acidente não ocorreu devido ao acaso ou a uma ação evasiva e a separação entre as aeronaves tenha sido inferior a 0,5 milha náutica (horizontal) e 500 pés (vertical).</w:t>
      </w:r>
    </w:p>
    <w:p>
      <w:pPr>
        <w:pStyle w:val="Corpodetexto"/>
      </w:pPr>
      <w:r>
        <w:t xml:space="preserve">Todo Incidente de Tráfego Aéreo classificado pela ASEGCEA como Risco Crítico será investigado, e seus resultados serão formalizados por meio de Laudo Técnico ATS. Além disso, caso esse incidente seja também reconhecido pelo CENIPA como Incidente Aeronáutico Grave, será instaurada investigação conforme a legislação específica daquele Centro, a qual utilizará os laudos produzidos no âmbito do SEGCEA como subsídio.</w:t>
      </w:r>
    </w:p>
    <w:p>
      <w:pPr>
        <w:pStyle w:val="Corpodetexto"/>
      </w:pPr>
      <w:r>
        <w:t xml:space="preserve">A</w:t>
      </w:r>
      <w:r>
        <w:t xml:space="preserve"> </w:t>
      </w:r>
      <w:hyperlink w:anchor="fig-Figura-PPP">
        <w:r>
          <w:rPr>
            <w:rStyle w:val="Hyperlink"/>
          </w:rPr>
          <w:t xml:space="preserve">Figura 3.53</w:t>
        </w:r>
      </w:hyperlink>
      <w:r>
        <w:t xml:space="preserve"> </w:t>
      </w:r>
      <w:r>
        <w:t xml:space="preserve">- gráfico Risco Crítico Anual apresenta os valores absolutos de ocorrências de Incidentes de Tráfego Aéreo de Risco Crítico, comparativamente em relação ao triênio 2023-2025. Em 2025, foram registrados 9 eventos, ou seja, mais que o dobro do total observado no ano anterior.</w:t>
      </w:r>
    </w:p>
    <w:tbl>
      <w:tblPr>
        <w:tblStyle w:val="Table"/>
        <w:tblW w:type="pct" w:w="5000"/>
        <w:tblLayout w:type="fixed"/>
        <w:tblLook w:firstRow="0" w:lastRow="0" w:firstColumn="0" w:lastColumn="0" w:noHBand="0" w:noVBand="0" w:val="0000"/>
      </w:tblPr>
      <w:tblGrid>
        <w:gridCol w:w="7920"/>
      </w:tblGrid>
      <w:tr>
        <w:tc>
          <w:tcPr/>
          <w:bookmarkStart w:id="475" w:name="fig-Figura-PPP"/>
          <w:p>
            <w:pPr>
              <w:pStyle w:val="Compact"/>
              <w:jc w:val="center"/>
            </w:pPr>
            <w:r>
              <w:drawing>
                <wp:inline>
                  <wp:extent cx="5977890" cy="2590419"/>
                  <wp:effectExtent b="0" l="0" r="0" t="0"/>
                  <wp:docPr descr="" title="" id="473" name="Picture"/>
                  <a:graphic>
                    <a:graphicData uri="http://schemas.openxmlformats.org/drawingml/2006/picture">
                      <pic:pic>
                        <pic:nvPicPr>
                          <pic:cNvPr descr="03-Indicadores_files/figure-docx/fig-Figura-PPP-1.png" id="474" name="Picture"/>
                          <pic:cNvPicPr>
                            <a:picLocks noChangeArrowheads="1" noChangeAspect="1"/>
                          </pic:cNvPicPr>
                        </pic:nvPicPr>
                        <pic:blipFill>
                          <a:blip r:embed="rId472"/>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3.53: Incidente de Tráfego Aéreo de Risco Crítico</w:t>
            </w:r>
          </w:p>
          <w:bookmarkEnd w:id="475"/>
        </w:tc>
      </w:tr>
    </w:tbl>
    <w:p>
      <w:pPr>
        <w:pStyle w:val="Corpodetexto"/>
      </w:pPr>
      <w:r>
        <w:t xml:space="preserve">A</w:t>
      </w:r>
      <w:r>
        <w:t xml:space="preserve"> </w:t>
      </w:r>
      <w:hyperlink w:anchor="fig-Figura-PPP">
        <w:r>
          <w:rPr>
            <w:rStyle w:val="Hyperlink"/>
          </w:rPr>
          <w:t xml:space="preserve">Figura 3.53</w:t>
        </w:r>
      </w:hyperlink>
      <w:r>
        <w:t xml:space="preserve"> </w:t>
      </w:r>
      <w:r>
        <w:t xml:space="preserve">— gráfico do Indicador de Desempenho da Segurança Operacional (IDSO) — apresenta o comportamento do IDSO Risco Crítico ao longo dos três últimos anos, evidenciando que, a partir de 2024, os índices registrados passaram a apresentar aumento, comprometendo o alcance da meta estabelecida para o período. Esse cenário decorre da nova interpretação da ICA 81-2 adotada pela ASEGCEA. Anteriormente, ocorrências classificadas inicialmente como Risco Crítico e não autenticadas pelo CENIPA eram reclassificadas como Risco Potencial. Com o novo entendimento, a própria ASEGCEA passou a realizar a chancela desses eventos como Risco Crítico, centralizando essa competência. Como consequência, houve um acréscimo estatístico nos registros do indicador, fato comunicado oficialmente às OPSNA e EPSNA por meio da Carta nº 2/ASEG-G/19661, emitida em 10 de outubro de 2025.</w:t>
      </w:r>
    </w:p>
    <w:bookmarkEnd w:id="476"/>
    <w:bookmarkStart w:id="481" w:name="número-de-registros-tratados-no-sigcea"/>
    <w:p>
      <w:pPr>
        <w:pStyle w:val="Ttulo3"/>
      </w:pPr>
      <w:r>
        <w:t xml:space="preserve">3.6.5 NÚMERO DE REGISTROS TRATADOS NO SIGCEA</w:t>
      </w:r>
    </w:p>
    <w:p>
      <w:pPr>
        <w:pStyle w:val="FirstParagraph"/>
      </w:pPr>
      <w:r>
        <w:t xml:space="preserve">A Ficha de Notificação de Ocorrência de Tráfego Aéreo (FNO) e os Relatos de Prevenção (RELPREV) de caráter voluntário, regulamentados pela ICA 81-1 (Ocorrências de Tráfego Aéreo) e NSCA 3-17 (Sistema de Reportes do SIPAER para a Aviação Civil Brasileira), respectivamente, estão entre as principais fontes do SIGCEA.</w:t>
      </w:r>
    </w:p>
    <w:p>
      <w:pPr>
        <w:pStyle w:val="Corpodetexto"/>
      </w:pPr>
      <w:r>
        <w:t xml:space="preserve">A</w:t>
      </w:r>
      <w:r>
        <w:t xml:space="preserve"> </w:t>
      </w:r>
      <w:hyperlink w:anchor="fig-Figura-RRR">
        <w:r>
          <w:rPr>
            <w:rStyle w:val="Hyperlink"/>
          </w:rPr>
          <w:t xml:space="preserve">Figura 3.54</w:t>
        </w:r>
      </w:hyperlink>
      <w:r>
        <w:t xml:space="preserve"> </w:t>
      </w:r>
      <w:r>
        <w:t xml:space="preserve">- gráfico Tipos de Registros no SIGCEA apresenta a evolução dos registros nos últimos três anos de acordo com a origem da informação.</w:t>
      </w:r>
    </w:p>
    <w:tbl>
      <w:tblPr>
        <w:tblStyle w:val="Table"/>
        <w:tblW w:type="pct" w:w="5000"/>
        <w:tblLayout w:type="fixed"/>
        <w:tblLook w:firstRow="0" w:lastRow="0" w:firstColumn="0" w:lastColumn="0" w:noHBand="0" w:noVBand="0" w:val="0000"/>
      </w:tblPr>
      <w:tblGrid>
        <w:gridCol w:w="7920"/>
      </w:tblGrid>
      <w:tr>
        <w:tc>
          <w:tcPr/>
          <w:bookmarkStart w:id="480" w:name="fig-Figura-RRR"/>
          <w:p>
            <w:pPr>
              <w:pStyle w:val="Compact"/>
              <w:jc w:val="center"/>
            </w:pPr>
            <w:r>
              <w:drawing>
                <wp:inline>
                  <wp:extent cx="5977890" cy="2590419"/>
                  <wp:effectExtent b="0" l="0" r="0" t="0"/>
                  <wp:docPr descr="" title="" id="478" name="Picture"/>
                  <a:graphic>
                    <a:graphicData uri="http://schemas.openxmlformats.org/drawingml/2006/picture">
                      <pic:pic>
                        <pic:nvPicPr>
                          <pic:cNvPr descr="03-Indicadores_files/figure-docx/fig-Figura-RRR-1.png" id="479" name="Picture"/>
                          <pic:cNvPicPr>
                            <a:picLocks noChangeArrowheads="1" noChangeAspect="1"/>
                          </pic:cNvPicPr>
                        </pic:nvPicPr>
                        <pic:blipFill>
                          <a:blip r:embed="rId477"/>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3.54: Registros do SIGCEA</w:t>
            </w:r>
          </w:p>
          <w:bookmarkEnd w:id="480"/>
        </w:tc>
      </w:tr>
    </w:tbl>
    <w:p>
      <w:pPr>
        <w:pStyle w:val="Corpodetexto"/>
      </w:pPr>
      <w:r>
        <w:t xml:space="preserve">Desde 2023, é possível observar aumento sucessivo da quantidade de FNO registradas no SIGCEA. O mesmo não se observa em relação aos RELPREV, o que é compreensível, pois a FNO é um reporte de caráter mandatório ao passo que o RELPREV é voluntário. Em 2025, o aumento na quantidade de FNO foi aproximadamente 27% em relação ao ano anterior.</w:t>
      </w:r>
    </w:p>
    <w:p>
      <w:pPr>
        <w:pStyle w:val="Corpodetexto"/>
      </w:pPr>
      <w:r>
        <w:t xml:space="preserve">A</w:t>
      </w:r>
      <w:r>
        <w:t xml:space="preserve"> </w:t>
      </w:r>
      <w:hyperlink w:anchor="fig-Figura-RRR">
        <w:r>
          <w:rPr>
            <w:rStyle w:val="Hyperlink"/>
          </w:rPr>
          <w:t xml:space="preserve">Figura 3.54</w:t>
        </w:r>
      </w:hyperlink>
      <w:r>
        <w:t xml:space="preserve"> </w:t>
      </w:r>
      <w:r>
        <w:t xml:space="preserve">- gráfico do Indicador de Desempenho da Segurança Operacional (IDSO) - apresenta o comportamento do IDSO Risco Crítico ao longo dos três últimos anos, evidenciando que, a partir de 2024, os índices registrados passaram a apresentar aumento, comprometendo o alcance da meta estabelecida para o período. Esse cenário decorre da nova interpretação da ICA 81-2 adotada pela ASEGCEA. Anteriormente, ocorrências classificadas inicialmente como Risco Crítico e não autenticadas pelo CENIPA eram reclassificadas como Risco Potencial. Com o novo entendimento, a própria ASEGCEA passou a realizar a chancela desses eventos como Risco Crítico, centralizando essa competência. Como consequência, houve um acréscimo estatístico nos registros do indicador, fato comunicado oficialmente às OPSNA e EPSNA por meio da Carta nº 2/ASEG-G/19661, emitida em 10 de outubro de 2025.</w:t>
      </w:r>
    </w:p>
    <w:p>
      <w:pPr>
        <w:pStyle w:val="Corpodetexto"/>
      </w:pPr>
      <w:r>
        <w:t xml:space="preserve">Cabe ressaltar que 15,1% dos RELPREV e 4,81% das FNO são de responsabilidade de outros entes, não vinculados às SIPCEA dos Regionais.</w:t>
      </w:r>
    </w:p>
    <w:bookmarkEnd w:id="481"/>
    <w:bookmarkEnd w:id="482"/>
    <w:bookmarkStart w:id="492" w:name="segurança-da-aviação-security"/>
    <w:p>
      <w:pPr>
        <w:pStyle w:val="Ttulo2"/>
      </w:pPr>
      <w:r>
        <w:t xml:space="preserve">3.7 SEGURANÇA DA AVIAÇÃO (</w:t>
      </w:r>
      <w:r>
        <w:rPr>
          <w:i/>
          <w:iCs/>
        </w:rPr>
        <w:t xml:space="preserve">SECURITY</w:t>
      </w:r>
      <w:r>
        <w:t xml:space="preserve">)</w:t>
      </w:r>
    </w:p>
    <w:p>
      <w:pPr>
        <w:pStyle w:val="FirstParagraph"/>
      </w:pPr>
      <w:r>
        <w:t xml:space="preserve">O cenário nacional e global da aviação exige a implementação rigorosa de medidas de segurança voltadas à mitigação das ameaças AVSEC (Segurança da Aviação Civil contra Atos de Interferência Ilícita). Essas medidas abrangem a proteção de infraestruturas críticas e sistemas de tráfego aéreo, a capacitação e o treinamento contínuo dos Controladores de Tráfego Aéreo, bem como a implementação de programas de controle de qualidade por meio de testes e exercícios operacionais. Dada a relevância dos impactos que atos de interferência ilícita podem gerar sobre os recursos humanos e materiais do setor, a abordagem preventiva e reativa torna-se essencial para garantir a resiliência do sistema de aviação civil.</w:t>
      </w:r>
    </w:p>
    <w:p>
      <w:pPr>
        <w:pStyle w:val="Corpodetexto"/>
      </w:pPr>
      <w:r>
        <w:t xml:space="preserve">No contexto da aviação civil, os atos de interferência ilícita são definidos como qualquer ação que comprometa a segurança operacional e a integridade do transporte aéreo, incluindo:</w:t>
      </w:r>
    </w:p>
    <w:p>
      <w:pPr>
        <w:pStyle w:val="Compact"/>
        <w:numPr>
          <w:ilvl w:val="0"/>
          <w:numId w:val="1004"/>
        </w:numPr>
      </w:pPr>
      <w:r>
        <w:t xml:space="preserve">Apoderamento de aeronave;</w:t>
      </w:r>
    </w:p>
    <w:p>
      <w:pPr>
        <w:pStyle w:val="Compact"/>
        <w:numPr>
          <w:ilvl w:val="0"/>
          <w:numId w:val="1004"/>
        </w:numPr>
      </w:pPr>
      <w:r>
        <w:t xml:space="preserve">Destruição de aeronave em serviço;</w:t>
      </w:r>
    </w:p>
    <w:p>
      <w:pPr>
        <w:pStyle w:val="Compact"/>
        <w:numPr>
          <w:ilvl w:val="0"/>
          <w:numId w:val="1004"/>
        </w:numPr>
      </w:pPr>
      <w:r>
        <w:t xml:space="preserve">Manutenção de refém a bordo de aeronaves ou em aeródromos;</w:t>
      </w:r>
    </w:p>
    <w:p>
      <w:pPr>
        <w:pStyle w:val="Compact"/>
        <w:numPr>
          <w:ilvl w:val="0"/>
          <w:numId w:val="1004"/>
        </w:numPr>
      </w:pPr>
      <w:r>
        <w:t xml:space="preserve">Invasão a aeronave, aeroporto ou instalação aeronáutica;</w:t>
      </w:r>
    </w:p>
    <w:p>
      <w:pPr>
        <w:pStyle w:val="Compact"/>
        <w:numPr>
          <w:ilvl w:val="0"/>
          <w:numId w:val="1004"/>
        </w:numPr>
      </w:pPr>
      <w:r>
        <w:t xml:space="preserve">Introdução de arma, artefato ou material perigoso, com intenções criminosas, em instalações aeronáuticas, a bordo de aeronave ou em um aeroporto;</w:t>
      </w:r>
    </w:p>
    <w:p>
      <w:pPr>
        <w:pStyle w:val="Compact"/>
        <w:numPr>
          <w:ilvl w:val="0"/>
          <w:numId w:val="1004"/>
        </w:numPr>
      </w:pPr>
      <w:r>
        <w:t xml:space="preserve">Uso de aeronave em serviço com propósito de causar morte, ferimentos graves ou prejuízos graves à propriedade ou ao meio ambiente;</w:t>
      </w:r>
    </w:p>
    <w:p>
      <w:pPr>
        <w:pStyle w:val="Compact"/>
        <w:numPr>
          <w:ilvl w:val="0"/>
          <w:numId w:val="1004"/>
        </w:numPr>
      </w:pPr>
      <w:r>
        <w:t xml:space="preserve">Comunicação de informação falsa que coloque em risco a segurança de aeronave em voo ou no solo, dos passageiros, da tripulação, do pessoal de terra ou público em geral, no aeroporto ou nas dependências de instalação de navegação aérea;</w:t>
      </w:r>
    </w:p>
    <w:p>
      <w:pPr>
        <w:pStyle w:val="Compact"/>
        <w:numPr>
          <w:ilvl w:val="0"/>
          <w:numId w:val="1004"/>
        </w:numPr>
      </w:pPr>
      <w:r>
        <w:t xml:space="preserve">Ataques a aeronaves utilizando Sistema Antiaéreo Portátil ou arma de fogo;</w:t>
      </w:r>
    </w:p>
    <w:p>
      <w:pPr>
        <w:pStyle w:val="Compact"/>
        <w:numPr>
          <w:ilvl w:val="0"/>
          <w:numId w:val="1004"/>
        </w:numPr>
      </w:pPr>
      <w:r>
        <w:t xml:space="preserve">Interferência nos auxílios à navegação;</w:t>
      </w:r>
    </w:p>
    <w:p>
      <w:pPr>
        <w:pStyle w:val="Compact"/>
        <w:numPr>
          <w:ilvl w:val="0"/>
          <w:numId w:val="1004"/>
        </w:numPr>
      </w:pPr>
      <w:r>
        <w:t xml:space="preserve">Interferência em sistema de informação de missão crítica do SISCEAB ou Interferência cibernética;</w:t>
      </w:r>
    </w:p>
    <w:p>
      <w:pPr>
        <w:pStyle w:val="Compact"/>
        <w:numPr>
          <w:ilvl w:val="0"/>
          <w:numId w:val="1004"/>
        </w:numPr>
      </w:pPr>
      <w:r>
        <w:t xml:space="preserve">Uso de drone e/ou outros dispositivos que possam afetar a segurança da aviação civil; e</w:t>
      </w:r>
    </w:p>
    <w:p>
      <w:pPr>
        <w:pStyle w:val="Compact"/>
        <w:numPr>
          <w:ilvl w:val="0"/>
          <w:numId w:val="1004"/>
        </w:numPr>
      </w:pPr>
      <w:r>
        <w:t xml:space="preserve">Acionamento do código transponder 7500.</w:t>
      </w:r>
    </w:p>
    <w:p>
      <w:pPr>
        <w:pStyle w:val="FirstParagraph"/>
      </w:pPr>
      <w:r>
        <w:t xml:space="preserve">Neste contexto, a OACI (Organização de Aviação Civil Internacional), por meio do Anexo 17 (</w:t>
      </w:r>
      <w:r>
        <w:rPr>
          <w:i/>
          <w:iCs/>
        </w:rPr>
        <w:t xml:space="preserve">Aviation Security</w:t>
      </w:r>
      <w:r>
        <w:t xml:space="preserve">), estabelece recomendações de segurança aos estados signatários, dentre eles o Brasil, com o objetivo de impedir ou minimizar os efeitos de possíveis atos ilícitos contra a aviação civil. O Governo Federal Brasileiro, por meio do Decreto nº 11.195, de 8 de setembro de 2022, estabeleceu o Programa Nacional de Segurança da Aviação Civil contra Atos de Interferência Ilícita (PNAVSEC) que provocou diversas ações do COMAER (Comando da Aeronáutica) e do SISCEAB (Sistema de Controle do Espaço Aéreo Brasileiro), por exemplo, a publicação, em fevereiro de 2023, da ICA 205-51</w:t>
      </w:r>
      <w:r>
        <w:t xml:space="preserve"> </w:t>
      </w:r>
      <w:r>
        <w:t xml:space="preserve">“Gerenciamento do Risco AVSEC no SISCEAB”</w:t>
      </w:r>
      <w:r>
        <w:t xml:space="preserve">.</w:t>
      </w:r>
    </w:p>
    <w:p>
      <w:pPr>
        <w:pStyle w:val="Corpodetexto"/>
      </w:pPr>
      <w:r>
        <w:t xml:space="preserve">No âmbito do SISCEAB, a AVSECCEA (Assessoria de Segurança da Aviação Civil no Controle do Espaço Aéreo), subordinada ao Subdepartamento de Administração do DECEA, tem por missão realizar a gestão estratégica das atividades AVSEC (Proteção de Órgãos ATS, Nível de Proficiência de Controladores de Voo, Promoção de Cultura, Segurança Cibernética, Mitigação de Ameaças e Riscos à Aviação e outras). Ela atua em mais de 290 Elos do SISCEAB: Órgãos Regionais (CINDACTA e CRCEA-SE), Destacamentos de Controle do Espaço Aéreo (DTCEA), Grupo de Comunicação e Controle e seus Esquadrões (GCC), Dependências da NAV Brasil (DNB), Estações de Apoio ao Controle do Espaço Aéreo (EACEA) e Organizações Militares subordinadas ao DECEA.</w:t>
      </w:r>
    </w:p>
    <w:bookmarkStart w:id="491" w:name="indicadores-avsec"/>
    <w:p>
      <w:pPr>
        <w:pStyle w:val="Ttulo3"/>
      </w:pPr>
      <w:r>
        <w:t xml:space="preserve">3.7.1 INDICADORES AVSEC</w:t>
      </w:r>
    </w:p>
    <w:p>
      <w:pPr>
        <w:pStyle w:val="FirstParagraph"/>
      </w:pPr>
      <w:r>
        <w:t xml:space="preserve">O Sistema Integrado de Gestão AVSEC (SIGAVSEC) permite à AVSECCEA supervisionar, em todo o território nacional, os relatórios sobre ocorrências AVSEC, possibilitando o monitoramento e controle dos indicadores de segurança da aviação civil.</w:t>
      </w:r>
    </w:p>
    <w:p>
      <w:pPr>
        <w:pStyle w:val="Corpodetexto"/>
      </w:pPr>
      <w:r>
        <w:t xml:space="preserve">Existem ocorrências, conforme PNAVSEC, que são de responsabilidade de outros órgãos, por exemplo, ocorrências na inspeção de segurança nos terminais de passageiros dos aeroportos. Reportes relacionados às áreas patrimoniais de aeroportos são tratados em conjunto pelas esferas do DECEA, da ANAC e da Polícia Federal. Para a finalidade deste relatório, somente será apresentado o indicador de</w:t>
      </w:r>
      <w:r>
        <w:t xml:space="preserve"> </w:t>
      </w:r>
      <w:r>
        <w:t xml:space="preserve">“ocorrências AVSEC”</w:t>
      </w:r>
      <w:r>
        <w:t xml:space="preserve"> </w:t>
      </w:r>
      <w:r>
        <w:t xml:space="preserve">relacionado à competência do DECEA.</w:t>
      </w:r>
    </w:p>
    <w:p>
      <w:pPr>
        <w:pStyle w:val="Corpodetexto"/>
      </w:pPr>
      <w:r>
        <w:t xml:space="preserve">As ocorrências podem ser classificadas de acordo com as seguintes Categorias:</w:t>
      </w:r>
    </w:p>
    <w:p>
      <w:pPr>
        <w:pStyle w:val="Compact"/>
        <w:numPr>
          <w:ilvl w:val="0"/>
          <w:numId w:val="1005"/>
        </w:numPr>
      </w:pPr>
      <w:r>
        <w:t xml:space="preserve">Laser;</w:t>
      </w:r>
    </w:p>
    <w:p>
      <w:pPr>
        <w:pStyle w:val="Compact"/>
        <w:numPr>
          <w:ilvl w:val="0"/>
          <w:numId w:val="1005"/>
        </w:numPr>
      </w:pPr>
      <w:r>
        <w:t xml:space="preserve">Drones;</w:t>
      </w:r>
    </w:p>
    <w:p>
      <w:pPr>
        <w:pStyle w:val="Compact"/>
        <w:numPr>
          <w:ilvl w:val="0"/>
          <w:numId w:val="1005"/>
        </w:numPr>
      </w:pPr>
      <w:r>
        <w:t xml:space="preserve">Roubo/furto;</w:t>
      </w:r>
    </w:p>
    <w:p>
      <w:pPr>
        <w:pStyle w:val="Compact"/>
        <w:numPr>
          <w:ilvl w:val="0"/>
          <w:numId w:val="1005"/>
        </w:numPr>
      </w:pPr>
      <w:r>
        <w:t xml:space="preserve">Apoderamento ilícito/acionamento 7500/;</w:t>
      </w:r>
    </w:p>
    <w:p>
      <w:pPr>
        <w:pStyle w:val="Compact"/>
        <w:numPr>
          <w:ilvl w:val="0"/>
          <w:numId w:val="1005"/>
        </w:numPr>
      </w:pPr>
      <w:r>
        <w:t xml:space="preserve">Ameaça de bombas;</w:t>
      </w:r>
    </w:p>
    <w:p>
      <w:pPr>
        <w:pStyle w:val="Compact"/>
        <w:numPr>
          <w:ilvl w:val="0"/>
          <w:numId w:val="1005"/>
        </w:numPr>
      </w:pPr>
      <w:r>
        <w:t xml:space="preserve">Interferência nas comunicações;</w:t>
      </w:r>
    </w:p>
    <w:p>
      <w:pPr>
        <w:pStyle w:val="Compact"/>
        <w:numPr>
          <w:ilvl w:val="0"/>
          <w:numId w:val="1005"/>
        </w:numPr>
      </w:pPr>
      <w:r>
        <w:t xml:space="preserve">Falha no controle de acesso;</w:t>
      </w:r>
    </w:p>
    <w:p>
      <w:pPr>
        <w:pStyle w:val="Compact"/>
        <w:numPr>
          <w:ilvl w:val="0"/>
          <w:numId w:val="1005"/>
        </w:numPr>
      </w:pPr>
      <w:r>
        <w:t xml:space="preserve">Intrusão às instalações; e</w:t>
      </w:r>
    </w:p>
    <w:p>
      <w:pPr>
        <w:pStyle w:val="Compact"/>
        <w:numPr>
          <w:ilvl w:val="0"/>
          <w:numId w:val="1005"/>
        </w:numPr>
      </w:pPr>
      <w:r>
        <w:t xml:space="preserve">Interferência cibernética.</w:t>
      </w:r>
    </w:p>
    <w:p>
      <w:pPr>
        <w:pStyle w:val="FirstParagraph"/>
      </w:pPr>
      <w:r>
        <w:t xml:space="preserve">As falhas no controle de acesso distinguem-se das intrusões em instalações quanto à intencionalidade da ocorrência. As primeiras caracterizam-se, em geral, por deficiências em equipamentos ou processos, tais como falhas em catracas, sistemas eletrônicos ou no próprio credenciamento. Já as intrusões ocorrem quando as equipes de segurança identificam a invasão deliberada de áreas sob responsabilidade dos órgãos de controle de tráfego aéreo.</w:t>
      </w:r>
    </w:p>
    <w:p>
      <w:pPr>
        <w:pStyle w:val="Corpodetexto"/>
      </w:pPr>
      <w:r>
        <w:t xml:space="preserve">No ano de 2025, foram reportadas 471 ocorrências no SISCEAB, o que representa um aumento de 114,09% em relação a 2024. Destaca-se que não foram registrados danos irreversíveis, e que todos os reportes contribuíram para o fortalecimento das ações preventivas**, visando à mitigação de riscos e à prevenção de futuras ocorrências.</w:t>
      </w:r>
    </w:p>
    <w:p>
      <w:pPr>
        <w:pStyle w:val="Corpodetexto"/>
      </w:pPr>
      <w:r>
        <w:t xml:space="preserve">A</w:t>
      </w:r>
      <w:r>
        <w:t xml:space="preserve"> </w:t>
      </w:r>
      <w:hyperlink w:anchor="fig-Figura-AVISEC">
        <w:r>
          <w:rPr>
            <w:rStyle w:val="Hyperlink"/>
          </w:rPr>
          <w:t xml:space="preserve">Figura 3.55</w:t>
        </w:r>
      </w:hyperlink>
      <w:r>
        <w:t xml:space="preserve"> </w:t>
      </w:r>
      <w:r>
        <w:t xml:space="preserve">apresenta a distribuição das ocorrências por Regional. O CINDACTA IV registrou a menor quantidade, com 3 ocorrências, correspondentes a 0,64% do total do SISCEAB. Em contrapartida, o CRCEA-SE apresentou o maior número de registros, com 184 ocorrências, representando 39,07% do total. Representa ainda, a frequência das ocorrências mensais em 2025. A maior incidência, neste ano, ocorreu no mês de julho (73 ocorrências).</w:t>
      </w:r>
    </w:p>
    <w:p>
      <w:pPr>
        <w:pStyle w:val="Corpodetexto"/>
      </w:pPr>
      <w:r>
        <w:t xml:space="preserve">Em 2025, a Segurança da Operação no SISCEAB apresentou um aumento expressivo das ocorrências AVSEC, que passaram de 220 registros em 2024 para 471 em 2025, correspondendo a um crescimento de 114,09%. Nesse contexto, os eventos envolvendo feixes de raio laser mereceram especial destaque, tanto pelo elevado volume registrado quanto pela sua relevância para a segurança das operações aéreas, mantendo-se como a categoria de maior representatividade. Além do crescimento dos registros de laser, observou-se a ampliação de ocorrências relacionadas a interferências nas comunicações e ao uso indevido de drones, reforçando a necessidade de monitoramento contínuo, do aperfeiçoamento das medidas preventivas e da atuação coordenada entre os órgãos reguladores e operacionais, como pilares para a proteção do espaço aéreo e a manutenção da fluidez do tráfego aéreo.</w:t>
      </w:r>
    </w:p>
    <w:tbl>
      <w:tblPr>
        <w:tblStyle w:val="Table"/>
        <w:tblW w:type="pct" w:w="5000"/>
        <w:tblLayout w:type="fixed"/>
        <w:tblLook w:firstRow="0" w:lastRow="0" w:firstColumn="0" w:lastColumn="0" w:noHBand="0" w:noVBand="0" w:val="0000"/>
      </w:tblPr>
      <w:tblGrid>
        <w:gridCol w:w="7920"/>
      </w:tblGrid>
      <w:tr>
        <w:tc>
          <w:tcPr/>
          <w:bookmarkStart w:id="486" w:name="fig-Figura-AVISEC"/>
          <w:p>
            <w:pPr>
              <w:pStyle w:val="Compact"/>
              <w:jc w:val="center"/>
            </w:pPr>
            <w:r>
              <w:drawing>
                <wp:inline>
                  <wp:extent cx="5977890" cy="2590419"/>
                  <wp:effectExtent b="0" l="0" r="0" t="0"/>
                  <wp:docPr descr="" title="" id="484" name="Picture"/>
                  <a:graphic>
                    <a:graphicData uri="http://schemas.openxmlformats.org/drawingml/2006/picture">
                      <pic:pic>
                        <pic:nvPicPr>
                          <pic:cNvPr descr="03-Indicadores_files/figure-docx/fig-Figura-AVISEC-1.png" id="485" name="Picture"/>
                          <pic:cNvPicPr>
                            <a:picLocks noChangeArrowheads="1" noChangeAspect="1"/>
                          </pic:cNvPicPr>
                        </pic:nvPicPr>
                        <pic:blipFill>
                          <a:blip r:embed="rId483"/>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3.55: Ocorrências AVSEC</w:t>
            </w:r>
          </w:p>
          <w:bookmarkEnd w:id="486"/>
        </w:tc>
      </w:tr>
    </w:tbl>
    <w:p>
      <w:pPr>
        <w:pStyle w:val="Corpodetexto"/>
      </w:pPr>
      <w:r>
        <w:t xml:space="preserve">Na</w:t>
      </w:r>
      <w:r>
        <w:t xml:space="preserve"> </w:t>
      </w:r>
      <w:hyperlink w:anchor="fig-avsec-categoria">
        <w:r>
          <w:rPr>
            <w:rStyle w:val="Hyperlink"/>
          </w:rPr>
          <w:t xml:space="preserve">Figura 3.56</w:t>
        </w:r>
      </w:hyperlink>
      <w:r>
        <w:t xml:space="preserve">, é apresentado o indicador por categoria durante o ano de 2025.</w:t>
      </w:r>
    </w:p>
    <w:tbl>
      <w:tblPr>
        <w:tblStyle w:val="Table"/>
        <w:tblW w:type="pct" w:w="5000"/>
        <w:tblLayout w:type="fixed"/>
        <w:tblLook w:firstRow="0" w:lastRow="0" w:firstColumn="0" w:lastColumn="0" w:noHBand="0" w:noVBand="0" w:val="0000"/>
      </w:tblPr>
      <w:tblGrid>
        <w:gridCol w:w="7920"/>
      </w:tblGrid>
      <w:tr>
        <w:tc>
          <w:tcPr/>
          <w:bookmarkStart w:id="490" w:name="fig-avsec-categoria"/>
          <w:p>
            <w:pPr>
              <w:pStyle w:val="Compact"/>
              <w:jc w:val="center"/>
            </w:pPr>
            <w:r>
              <w:drawing>
                <wp:inline>
                  <wp:extent cx="5977890" cy="2590419"/>
                  <wp:effectExtent b="0" l="0" r="0" t="0"/>
                  <wp:docPr descr="" title="" id="488" name="Picture"/>
                  <a:graphic>
                    <a:graphicData uri="http://schemas.openxmlformats.org/drawingml/2006/picture">
                      <pic:pic>
                        <pic:nvPicPr>
                          <pic:cNvPr descr="03-Indicadores_files/figure-docx/fig-avsec-categoria-1.png" id="489" name="Picture"/>
                          <pic:cNvPicPr>
                            <a:picLocks noChangeArrowheads="1" noChangeAspect="1"/>
                          </pic:cNvPicPr>
                        </pic:nvPicPr>
                        <pic:blipFill>
                          <a:blip r:embed="rId487"/>
                          <a:stretch>
                            <a:fillRect/>
                          </a:stretch>
                        </pic:blipFill>
                        <pic:spPr bwMode="auto">
                          <a:xfrm>
                            <a:off x="0" y="0"/>
                            <a:ext cx="5977890" cy="2590419"/>
                          </a:xfrm>
                          <a:prstGeom prst="rect">
                            <a:avLst/>
                          </a:prstGeom>
                          <a:noFill/>
                          <a:ln w="9525">
                            <a:noFill/>
                            <a:headEnd/>
                            <a:tailEnd/>
                          </a:ln>
                        </pic:spPr>
                      </pic:pic>
                    </a:graphicData>
                  </a:graphic>
                </wp:inline>
              </w:drawing>
            </w:r>
          </w:p>
          <w:p>
            <w:pPr>
              <w:jc w:val="center"/>
            </w:pPr>
            <w:pPr>
              <w:jc w:val="left"/>
              <w:spacing w:before="200"/>
              <w:pStyle w:val="ImageCaption"/>
            </w:pPr>
            <w:r>
              <w:t xml:space="preserve">Figura 3.56: Ocorrências AVSEC por Categoria</w:t>
            </w:r>
          </w:p>
          <w:bookmarkEnd w:id="490"/>
        </w:tc>
      </w:tr>
    </w:tbl>
    <w:p>
      <w:pPr>
        <w:numPr>
          <w:ilvl w:val="0"/>
          <w:numId w:val="1006"/>
        </w:numPr>
      </w:pPr>
      <w:r>
        <w:t xml:space="preserve">Feixes de raio laser: 267 ocorrências (56,69% do total), representando um aumento de 117,07% em relação a 2024. Estes eventos podem prejudicar a visão dos pilotos na cabine de comando das aeronaves e causar graves consequências;</w:t>
      </w:r>
    </w:p>
    <w:p>
      <w:pPr>
        <w:numPr>
          <w:ilvl w:val="0"/>
          <w:numId w:val="1006"/>
        </w:numPr>
      </w:pPr>
      <w:r>
        <w:t xml:space="preserve">Interferência nas comunicações registrou 87 ocorrências em 2025; correspondendo a 18,47% do total, o que representa um aumento de 148,57% em relação a 2024. Essa categoria destaca-se pelo potencial impacto direto na continuidade e na segurança das comunicações aeronáuticas;</w:t>
      </w:r>
    </w:p>
    <w:p>
      <w:pPr>
        <w:numPr>
          <w:ilvl w:val="0"/>
          <w:numId w:val="1006"/>
        </w:numPr>
      </w:pPr>
      <w:r>
        <w:t xml:space="preserve">Drones: 57 ocorrências em 2025 (12,10% do total), configurando um aumento de 83,87% em comparação com 2024, evidenciando a crescente utilização indevida de aeronaves remotamente pilotadas em áreas sensíveis do sistema de aviação civil;</w:t>
      </w:r>
    </w:p>
    <w:p>
      <w:pPr>
        <w:numPr>
          <w:ilvl w:val="0"/>
          <w:numId w:val="1006"/>
        </w:numPr>
      </w:pPr>
      <w:r>
        <w:t xml:space="preserve">Intrusão às instalações: 7 ocorrências (1,49% do total), com aumento de 16,67% entre 2024 e 2025. Esses eventos correspondem a tentativas de invasão às instalações de órgãos de tráfego aéreo situadas em áreas de acesso comum em aeroportos (áreas públicas), todas prontamente identificadas e impedidas pelas equipes de segurança dos respectivos órgãos;</w:t>
      </w:r>
    </w:p>
    <w:p>
      <w:pPr>
        <w:numPr>
          <w:ilvl w:val="0"/>
          <w:numId w:val="1006"/>
        </w:numPr>
      </w:pPr>
      <w:r>
        <w:t xml:space="preserve">Acionamento do código 7500: 6 ocorrências em 2025 (1,27% do total), mantendo-se estável em relação ao ano anterior. Esses episódios indicam a comunicação imediata de ato de interferência ilícita a bordo de aeronaves. Após análise pelas equipes responsáveis, todas as ocorrências foram classificadas como ameaças falsas, conforme os procedimentos estabelecidos no PNAVSEC;</w:t>
      </w:r>
    </w:p>
    <w:p>
      <w:pPr>
        <w:numPr>
          <w:ilvl w:val="0"/>
          <w:numId w:val="1006"/>
        </w:numPr>
      </w:pPr>
      <w:r>
        <w:t xml:space="preserve">Laser - é a ocorrência mais comum. Os reportes se concentraram nas áreas do CINDACTA I e CRCEA-SE;</w:t>
      </w:r>
    </w:p>
    <w:p>
      <w:pPr>
        <w:numPr>
          <w:ilvl w:val="0"/>
          <w:numId w:val="1006"/>
        </w:numPr>
      </w:pPr>
      <w:r>
        <w:t xml:space="preserve">Drones - reportados, principalmente, em áreas sob jurisdição do CINDACTA I e CRCEASE;</w:t>
      </w:r>
    </w:p>
    <w:p>
      <w:pPr>
        <w:numPr>
          <w:ilvl w:val="0"/>
          <w:numId w:val="1006"/>
        </w:numPr>
      </w:pPr>
      <w:r>
        <w:t xml:space="preserve">Interferência nas comunicações - elevada quantidade de reportes no CINDACTA III;</w:t>
      </w:r>
    </w:p>
    <w:p>
      <w:pPr>
        <w:numPr>
          <w:ilvl w:val="0"/>
          <w:numId w:val="1006"/>
        </w:numPr>
      </w:pPr>
      <w:r>
        <w:t xml:space="preserve">Interferência Cibernéticas - No SIGAVSEC não foi reportada nenhuma ocorrência.</w:t>
      </w:r>
    </w:p>
    <w:p>
      <w:pPr>
        <w:pStyle w:val="FirstParagraph"/>
      </w:pPr>
      <w:r>
        <w:t xml:space="preserve">Destaca-se que as ocorrências dessas categorias, embora com diferentes níveis de severidade, podem impactar a fluidez do tráfego aéreo, acarretando prejuízos operacionais e econômicos, além de demandar a ativação de protocolos de segurança e coordenação interinstitucional.</w:t>
      </w:r>
    </w:p>
    <w:p>
      <w:pPr>
        <w:pStyle w:val="Corpodetexto"/>
      </w:pPr>
      <w:r>
        <w:t xml:space="preserve">Em 2025, a Segurança da Operação no SISCEAB apresentou um aumento expressivo das ocorrências AVSEC, que passaram de 220 registros em 2024 para 471 em 2025, correspondendo a um crescimento de 114,09%. Nesse contexto, os eventos envolvendo feixes de raio laser mereceram especial destaque, tanto pelo elevado volume registrado quanto pela sua relevância para a segurança das operações aéreas, mantendo-se como a categoria de maior representatividade. Além do crescimento dos registros de laser, observou-se a ampliação de ocorrências relacionadas a interferências nas comunicações e ao uso indevido de drones, reforçando a necessidade de monitoramento contínuo, do aperfeiçoamento das medidas preventivas e da atuação coordenada entre os órgãos reguladores e operacionais, como pilares para a proteção do espaço aéreo e a manutenção da fluidez do tráfego aéreo.</w:t>
      </w:r>
    </w:p>
    <w:bookmarkEnd w:id="491"/>
    <w:bookmarkEnd w:id="492"/>
    <w:bookmarkEnd w:id="493"/>
    <w:bookmarkStart w:id="494" w:name="conclusão"/>
    <w:p>
      <w:pPr>
        <w:pStyle w:val="Ttulo1"/>
      </w:pPr>
      <w:r>
        <w:t xml:space="preserve">4. CONCLUSÃO</w:t>
      </w:r>
    </w:p>
    <w:p>
      <w:pPr>
        <w:pStyle w:val="FirstParagraph"/>
      </w:pPr>
      <w:r>
        <w:t xml:space="preserve">O Relatório de Performance ATM 2025 apresenta uma análise detalhada dos movimentos aéreos e dos indicadores de desempenho do Sistema de Controle do Espaço Aéreo Brasileiro (SISCEAB), consolidando as informações obtidas ao longo do ano pela Comissão de Performance ATM. O documento fornece uma visão abrangente do tráfego aéreo no Brasil, evidenciando tendências, desafios e avanços na gestão do espaço aéreo nacional.</w:t>
      </w:r>
    </w:p>
    <w:p>
      <w:pPr>
        <w:pStyle w:val="Corpodetexto"/>
      </w:pPr>
      <w:r>
        <w:t xml:space="preserve">Em 2025, o número de operações aéreas registrou um crescimento de 3,6% (100 AD), confirmando a recuperação do setor pelo terceiro ano consecutivo, em um ritmo mais acelerado do que a ano anterior. A média móvel de 7 dias dos 100 principais aeroportos do SISCEAB permaneceu acima dos níveis históricos, refletindo uma demanda consolidada e uma gestão eficiente do tráfego aéreo. Alguns aeroportos se destacaram pelo crescimento expressivo no volume de operações, como Galeão (SBGL), que teve um aumento de 18,2%, Jacarepaguá (SBJR), com 29%, Porto Alegre (SBPA), com 108%, Campo de Marte (SBMT), com 14,7%, com 14,7%, e Jundiaí (SBJD) que registrou um acréscimo de 24,4%. Em contrapartida, Canoas (SBCO) sofreu uma redução de 61% no tráfego devido a retomada das operações em Porto Alegre em outubro de 2024.</w:t>
      </w:r>
    </w:p>
    <w:p>
      <w:pPr>
        <w:pStyle w:val="Corpodetexto"/>
      </w:pPr>
      <w:r>
        <w:t xml:space="preserve">Na análise por Região de Informação de Voo (FIR), a FIR Brasília permaneceu como a mais movimentada do país, acumulando 705.024 movimentos, 139.160 a mais que a FIR Curitiba, segunda colocada no ranking nacional. No entanto, a FIR Curitiba apresentou o maior crescimento percentual, com 14,8% comparado ao ano anterior. A FIR Atlântico também registrou um crescimento relevante, impulsionado pelo tráfego internacional. A maior densidade de tráfego aéreo foi observada na região do CRCEA-SE, que abrange as TMA Rio de Janeiro e São Paulo, áreas de elevada complexidade operacional.</w:t>
      </w:r>
    </w:p>
    <w:p>
      <w:pPr>
        <w:pStyle w:val="Corpodetexto"/>
      </w:pPr>
      <w:r>
        <w:t xml:space="preserve">O efetivo de controladores no SISCEAB em 2025 alcançou 5.405 profissionais, distribuídos entre COMAER (4.658 ATCO, representando 86%), NAV Brasil (588 ATCO, equivalente a 11%) e outras prestadoras de serviço (159 ATCO, correspondendo a 3%). O CINDACTA I, que manteve o maior contingente, teve um crescimento de 2,1% no número de ATCOs, enquanto o CINDACTA IV registrou o maior crescimento com 2,4%. No que se refere ao nível de proficiência em inglês, o CINDACTA II apresentou o maior percentual de controladores com NP 4 ou superior (47%), seguido pelo CINDACTA I e CRCEA-SE, entretanto apenas o CINDACTA I registrou crescimento em relação a 2024.</w:t>
      </w:r>
    </w:p>
    <w:p>
      <w:pPr>
        <w:pStyle w:val="Corpodetexto"/>
      </w:pPr>
      <w:r>
        <w:t xml:space="preserve">Em 2024, Ribeirão Preto, Fortaleza, Goiânia e São Luís tiveram as melhores condições meteorológicas para operações VMC, operando próximo de 100% do tempo em condições visuais (~97%). Já Curitiba registrou o maior tempo com restrições (46%), seguido por Joinville (26%), Guarulhos (26%) e Congonhas (24%).</w:t>
      </w:r>
    </w:p>
    <w:p>
      <w:pPr>
        <w:pStyle w:val="Corpodetexto"/>
      </w:pPr>
      <w:r>
        <w:t xml:space="preserve">O relatório também destacou diversos projetos estratégicos voltados para a otimização da Performance ATM no SISCEAB, abrangendo iniciativas como Otimização do Espaço Aéreo, TOTAL ATM, UTM, UAM, FIS e FF-ICE. Essas ações têm impacto direto na eficiência operacional, contribuindo para aprimorar a fluidez do tráfego aéreo e elevar o desempenho geral do Sistema de Controle do Espaço Aéreo Brasileiro.</w:t>
      </w:r>
    </w:p>
    <w:p>
      <w:pPr>
        <w:pStyle w:val="Corpodetexto"/>
      </w:pPr>
      <w:r>
        <w:t xml:space="preserve">Os indicadores de performance são ferramentas gerenciais essenciais para avaliar a performance.</w:t>
      </w:r>
    </w:p>
    <w:p>
      <w:pPr>
        <w:pStyle w:val="Corpodetexto"/>
      </w:pPr>
      <w:r>
        <w:t xml:space="preserve">A seguir, serão apresentados estes indicadores, categorizados conforme suas áreas:</w:t>
      </w:r>
    </w:p>
    <w:p>
      <w:pPr>
        <w:pStyle w:val="Corpodetexto"/>
      </w:pPr>
      <w:r>
        <w:rPr>
          <w:b/>
          <w:bCs/>
        </w:rPr>
        <w:t xml:space="preserve">PREVISIBILIDADE:</w:t>
      </w:r>
    </w:p>
    <w:p>
      <w:pPr>
        <w:pStyle w:val="Corpodetexto"/>
      </w:pPr>
      <w:r>
        <w:t xml:space="preserve">KPI 01 – Pontualidade de partida – (Meta: 80%) - Em 2025, a média de pontualidade de partida nos aeroportos monitorados foi de 81,9%, um aumento de 1,3% em relação a 2024.</w:t>
      </w:r>
    </w:p>
    <w:p>
      <w:pPr>
        <w:pStyle w:val="Corpodetexto"/>
      </w:pPr>
      <w:r>
        <w:t xml:space="preserve">A pontualidade de partida foi bem avaliada, em consonância com outros relatórios de mercado como o da empresa CIRIUM, onde aeroportos e empresas aéreas brasileiras se destacam nas suas categorias a nível mundial.</w:t>
      </w:r>
    </w:p>
    <w:p>
      <w:pPr>
        <w:pStyle w:val="Corpodetexto"/>
      </w:pPr>
      <w:r>
        <w:t xml:space="preserve">O aumento de voos adiantados mais do que 15 minutos na chegada beneficia a pontualidade de partida de alguns voos, uma vez que as empresas aéreas podem contar com mais tempo para realizar o</w:t>
      </w:r>
      <w:r>
        <w:t xml:space="preserve"> </w:t>
      </w:r>
      <w:r>
        <w:rPr>
          <w:i/>
          <w:iCs/>
        </w:rPr>
        <w:t xml:space="preserve">turnaround</w:t>
      </w:r>
      <w:r>
        <w:t xml:space="preserve"> </w:t>
      </w:r>
      <w:r>
        <w:t xml:space="preserve">e decolar dentro do horário previsto.</w:t>
      </w:r>
    </w:p>
    <w:p>
      <w:pPr>
        <w:pStyle w:val="Corpodetexto"/>
      </w:pPr>
      <w:r>
        <w:t xml:space="preserve">KPI 14 – Pontualidade de chegada – (Meta: 70%) – A pontualidade de chegada nos aeroportos monitorados pelo SISCEAB registrou uma queda de 0,7% em 2025, alcançando uma média de 62,7%, mantendo-se abaixo da meta pelo terceiro ano consecutivo.</w:t>
      </w:r>
    </w:p>
    <w:p>
      <w:pPr>
        <w:pStyle w:val="Corpodetexto"/>
      </w:pPr>
      <w:r>
        <w:t xml:space="preserve">O resultado do indicador segue influenciado pela elevada quantidade de voos adiantados mais de 15 minutos na chegada. Os efeitos gerados pelos adiantamentos podem ser prejudiciais para todo o sistema em função da diminuição da previsibilidade e dos gargalos gerados: congestionamento ou saturação de setores do espaço aéreo e lotação do pátio dos aeroportos, que acabam aumentando a necessidade de aplicação de medidas ATFM para garantir a fluidez das operações.</w:t>
      </w:r>
    </w:p>
    <w:p>
      <w:pPr>
        <w:pStyle w:val="Corpodetexto"/>
      </w:pPr>
      <w:r>
        <w:t xml:space="preserve">É importante lembrar que a diminuição do tempo de táxi em alguns aeródromos contribui para a redução do tempo de voo (</w:t>
      </w:r>
      <w:r>
        <w:rPr>
          <w:i/>
          <w:iCs/>
        </w:rPr>
        <w:t xml:space="preserve">gate-to-gate</w:t>
      </w:r>
      <w:r>
        <w:t xml:space="preserve">), mas essa redução nem sempre é incorporada ao planejamento das empresas aéreas, o que faz com que as chegadas sejam adiantadas com relação ao seu horário programado por esse motivo. Por exemplo, uma empresa aérea que tenha reduzido o tempo de táxi a partir de março de 2025 em todos os aeroportos monitorados nesse relatório, porém não tenha diminuído o seu tempo de voo programado na maioria das rotas, apresentará um tempo de voo realizado menor que o programado.</w:t>
      </w:r>
    </w:p>
    <w:p>
      <w:pPr>
        <w:pStyle w:val="Corpodetexto"/>
      </w:pPr>
      <w:r>
        <w:t xml:space="preserve">Recomendação: O alto número de pousos antecipados segue impactando a previsibilidade operacional, evidenciando a necessidade de ações para reduzir a discrepância entre os horários programados e os realizados.</w:t>
      </w:r>
    </w:p>
    <w:p>
      <w:pPr>
        <w:pStyle w:val="Corpodetexto"/>
      </w:pPr>
      <w:r>
        <w:t xml:space="preserve">KPI 15 – Variabilidade do tempo de voo (Meta: menor que 7 min para voos acima 120 min e 6 min para voos abaixo) – Este indicador mede a variabilidade do tempo real de voo</w:t>
      </w:r>
      <w:r>
        <w:t xml:space="preserve"> </w:t>
      </w:r>
      <w:r>
        <w:rPr>
          <w:i/>
          <w:iCs/>
        </w:rPr>
        <w:t xml:space="preserve">gate-to-gate</w:t>
      </w:r>
      <w:r>
        <w:t xml:space="preserve"> </w:t>
      </w:r>
      <w:r>
        <w:t xml:space="preserve">levando em consideração o indicativo do voo, o que garante que o resultado não seja influenciado por sazonalidades que ocorrem ao longo do dia com relação a saturação e congestionamentos, ou seja, não comparam voos que chegam em uma TMA em horários diferentes.</w:t>
      </w:r>
    </w:p>
    <w:p>
      <w:pPr>
        <w:pStyle w:val="Corpodetexto"/>
      </w:pPr>
      <w:r>
        <w:t xml:space="preserve">A correta compreensão da metodologia desse indicador é fundamental para a adequada interpretação de seus resultados. Valores acima da meta, situação observada com frequência, indicam baixa previsibilidade da trajetória e do perfil real de voo, o que leva à necessidade de planejamento com margens adicionais de combustível para garantir a segurança operacional. Como consequência, observa-se o aumento dos custos operacionais, o transporte de carga adicional não produtiva, maiores emissões de CO₂ e a redução da eficiência no uso dos recursos disponíveis.</w:t>
      </w:r>
    </w:p>
    <w:p>
      <w:pPr>
        <w:pStyle w:val="Corpodetexto"/>
      </w:pPr>
      <w:r>
        <w:rPr>
          <w:b/>
          <w:bCs/>
        </w:rPr>
        <w:t xml:space="preserve">EFICIÊNCIA:</w:t>
      </w:r>
    </w:p>
    <w:p>
      <w:pPr>
        <w:pStyle w:val="Corpodetexto"/>
      </w:pPr>
      <w:r>
        <w:t xml:space="preserve">KPI 02 – Tempo Adicional de Taxi-Out (Meta: até 3,5 min) - A média do SISCEAB para o tempo adicional de taxi-out foi reduzida para 2,9 min em 2025, com apenas 3 dos aeroportos monitorados não atingindo a meta de 3,5 min. Dentre estes, apenas Guarulhos, que apresentou estabilidade no resultado nos últimos 3 anos, está entre os mais movimentados.</w:t>
      </w:r>
    </w:p>
    <w:p>
      <w:pPr>
        <w:pStyle w:val="Corpodetexto"/>
      </w:pPr>
      <w:r>
        <w:t xml:space="preserve">A redução do tempo de táxi da empresa aérea GOL em todos os aeroportos monitorados ajudou a diminuir o tempo adicional de</w:t>
      </w:r>
      <w:r>
        <w:t xml:space="preserve"> </w:t>
      </w:r>
      <w:r>
        <w:rPr>
          <w:i/>
          <w:iCs/>
        </w:rPr>
        <w:t xml:space="preserve">taxi-out</w:t>
      </w:r>
      <w:r>
        <w:t xml:space="preserve">.</w:t>
      </w:r>
    </w:p>
    <w:p>
      <w:pPr>
        <w:pStyle w:val="Corpodetexto"/>
      </w:pPr>
      <w:r>
        <w:t xml:space="preserve">Atualizações de metodologia implementadas no cálculo desse indicador trouxeram maior aderência ao que é utilizado nos documentos de referência (GANP), por outras organizações (como a EUROCONTROL), e também contribuíram para reduzir os resultados encontrados nos últimos anos.</w:t>
      </w:r>
    </w:p>
    <w:p>
      <w:pPr>
        <w:pStyle w:val="Corpodetexto"/>
      </w:pPr>
      <w:r>
        <w:t xml:space="preserve">KPI 04 – Extensão em Rota de Plano de Voo - A maioria das rotas manteve elevada eficiência horizontal, com valores abaixo de 5%. A rota Curitiba-Congonhas continuou sendo a menos eficiente, com um índice de 24,1%, influenciada pela configuração da rede de rotas da TMA-SP.</w:t>
      </w:r>
    </w:p>
    <w:p>
      <w:pPr>
        <w:pStyle w:val="Corpodetexto"/>
      </w:pPr>
      <w:r>
        <w:t xml:space="preserve">KPI 05 – Extensão Real em Rota - A trajetória real dos voos de Curitiba-Congonhas (25,7%), mostrou aderência aos resultados do KPI04 de rota planejada. Já os voos das rotas Curitiba-Guarulhos (18,5%) e Confins-Congonhas (15,5%) registraram valores superiores aos resultados da rota planejada que foram 8,0% e 10,2%, respectivamente.</w:t>
      </w:r>
    </w:p>
    <w:p>
      <w:pPr>
        <w:pStyle w:val="Corpodetexto"/>
      </w:pPr>
      <w:r>
        <w:t xml:space="preserve">Recomendação: Esses resultados apresentam oportunidades de melhoria do planejamento para ficar mais aderente ao que realmente é voado, com isso, aumentar a previsibilidade e eficiência das rotas do espaço aéreo brasileiro.</w:t>
      </w:r>
    </w:p>
    <w:p>
      <w:pPr>
        <w:pStyle w:val="Corpodetexto"/>
      </w:pPr>
      <w:r>
        <w:t xml:space="preserve">KPI 08 – Tempo Adicional em TMA (Meta no C100: até 3,5 min para SBGR, SBSP e SBKP e até: 2,5 min para os demais) – A média do SISCEAB para o KPI 08 em 2025 foi de 1,7 min no C40 e 2,3 min no C100, ambos apresentando reduções se comparados com 2023 e estabilidade em relação a 2024.</w:t>
      </w:r>
    </w:p>
    <w:p>
      <w:pPr>
        <w:pStyle w:val="Corpodetexto"/>
      </w:pPr>
      <w:r>
        <w:t xml:space="preserve">O redesenho da circulação para Campinas trouxe ganhos de eficiência evidenciados nesse indicador, o que cria a expectativa de que os futuros trabalhos nas TMA Confins e Rio de Janeiro possam trazer mais eficiência para seus voos.</w:t>
      </w:r>
    </w:p>
    <w:p>
      <w:pPr>
        <w:pStyle w:val="Corpodetexto"/>
      </w:pPr>
      <w:r>
        <w:t xml:space="preserve">KPI 13 – Tempo Adicional de Taxi-In (Meta: até 2 min) – Dos 40 aeroportos monitorados, apenas 3 ficaram acima da meta.</w:t>
      </w:r>
    </w:p>
    <w:p>
      <w:pPr>
        <w:pStyle w:val="Corpodetexto"/>
      </w:pPr>
      <w:r>
        <w:t xml:space="preserve">Apesar da atualização da metodologia, o Aeroporto de Congonhas apresentou aumento do tempo de</w:t>
      </w:r>
      <w:r>
        <w:t xml:space="preserve"> </w:t>
      </w:r>
      <w:r>
        <w:rPr>
          <w:i/>
          <w:iCs/>
        </w:rPr>
        <w:t xml:space="preserve">taxi-in</w:t>
      </w:r>
      <w:r>
        <w:t xml:space="preserve"> </w:t>
      </w:r>
      <w:r>
        <w:t xml:space="preserve">no último trimestre, com destaque para dezembro de 2025, quando o indicador registrou valor aproximadamente duas vezes superior ao observado anteriormente. Essa análise evidencia a necessidade de acompanhamento contínuo da evolução da demanda e dos desdobramentos das obras em curso no aeroporto, de modo a subsidiar a tomada de decisão, a aplicação de medidas ATFM e o aprimoramento da gestão de fluxo. Ressalta-se, ainda, a importância de atenção à ocupação do pátio e aos impactos operacionais na TMA mais movimentada do Brasil.</w:t>
      </w:r>
    </w:p>
    <w:p>
      <w:pPr>
        <w:pStyle w:val="Corpodetexto"/>
      </w:pPr>
      <w:r>
        <w:t xml:space="preserve">Os KPIs 17, 18 e 19 – Nivelamento em Subida, em Cruzeiro e em Descida – correspondem a indicadores que ainda não possuem metas estabelecidas. Nos últimos dois anos, houve mudanças na estruturação dos dados, nos métodos de cálculo e nas fontes de informação utilizadas. Essa reestruturação ampliará o escopo de análises e estudos, contribuindo para o aprimoramento das conclusões a partir das variações observadas nesses indicadores.</w:t>
      </w:r>
    </w:p>
    <w:p>
      <w:pPr>
        <w:pStyle w:val="Corpodetexto"/>
      </w:pPr>
      <w:r>
        <w:rPr>
          <w:b/>
          <w:bCs/>
        </w:rPr>
        <w:t xml:space="preserve">CAPACIDADE:</w:t>
      </w:r>
    </w:p>
    <w:p>
      <w:pPr>
        <w:pStyle w:val="Corpodetexto"/>
      </w:pPr>
      <w:r>
        <w:t xml:space="preserve">KPI 06 – Capacidade do Espaço Aéreo - A Capacidade do Espaço Aéreo, também chamada de Capacidade Horária de Setor (CHS), mede a fluidez do tráfego aéreo em setores específicos e é fundamental para alocação eficiente de recursos.</w:t>
      </w:r>
    </w:p>
    <w:p>
      <w:pPr>
        <w:pStyle w:val="Corpodetexto"/>
      </w:pPr>
      <w:r>
        <w:t xml:space="preserve">Outros indicadores também são monitorados, como a capacidade instantânea de setores – número de referência (Nref) e número pico (Npico) – e a relação demanda e capacidade de setores (IDBR07), porém não foram observadas alterações relevantes nesses indicadores durante o ano de 2025.</w:t>
      </w:r>
    </w:p>
    <w:p>
      <w:pPr>
        <w:pStyle w:val="Corpodetexto"/>
      </w:pPr>
      <w:r>
        <w:t xml:space="preserve">KPI 09 – Capacidade Declarada de Chegada - A capacidade declarada de chegada define o número máximo de pousos que um aeroporto pode gerenciar em um determinado intervalo de tempo (para o indicador, em 60 minutos), considerando elementos variados como as condições meteorológicas e as características da pista de pouso.</w:t>
      </w:r>
    </w:p>
    <w:p>
      <w:pPr>
        <w:pStyle w:val="Corpodetexto"/>
      </w:pPr>
      <w:r>
        <w:t xml:space="preserve">Este indicador é fortemente influenciado pela infraestrutura aeroportuária disponível. Aeroportos que dispõem de pistas paralelas, como o de Brasília, ou pistas com operações segregadas e independentes, como o de Guarulhos, têm uma maior capacidade de processamento de pousos de aeronaves. Isso contrasta com aeroportos que contam com uma única pista de pouso, cuja capacidade de absorção é comparativamente menor.</w:t>
      </w:r>
    </w:p>
    <w:p>
      <w:pPr>
        <w:pStyle w:val="Corpodetexto"/>
      </w:pPr>
      <w:r>
        <w:t xml:space="preserve">Cabe destacar que não houve atualização da capacidade declarada de chegada, sendo que o último aeroporto a ter sua capacidade revisada foi o Aeroporto de Guarulhos em 2024, onde sua capacidade foi ajustada de 32 para 34 operações por hora.</w:t>
      </w:r>
    </w:p>
    <w:p>
      <w:pPr>
        <w:pStyle w:val="Corpodetexto"/>
      </w:pPr>
      <w:r>
        <w:t xml:space="preserve">KPI 10 – Taxa pico de chegada – Este indicador pode ser comparado com o KPI 09, o que permite alcançar melhores conclusões.</w:t>
      </w:r>
    </w:p>
    <w:p>
      <w:pPr>
        <w:pStyle w:val="Corpodetexto"/>
      </w:pPr>
      <w:r>
        <w:t xml:space="preserve">O Aeroporto de Brasília registrou um aumento significativo da taxa pico, passando de 25 para 32 em 2025. Parte desse aumento é resultado da implementação de Decolagens Paralelas Simultâneas Independentes (DPSI) e da Área de Vetoração em Subida (AVS) – regulamentada pela CIRCEA 100-120.</w:t>
      </w:r>
    </w:p>
    <w:p>
      <w:pPr>
        <w:pStyle w:val="Corpodetexto"/>
      </w:pPr>
      <w:r>
        <w:t xml:space="preserve">Recomendação: A revisão da capacidade de pista do Aeroporto de Brasília devido a mudança operacional ocorrida e a maior fluidez observada através dos indicadores.</w:t>
      </w:r>
    </w:p>
    <w:p>
      <w:pPr>
        <w:pStyle w:val="Corpodetexto"/>
      </w:pPr>
      <w:r>
        <w:t xml:space="preserve">Medidas ATFM – Aplicadas sempre que se fazem necessárias, as medidas ATFM permitem otimizar o uso das capacidades disponíveis, minimizar os impactos de restrições à demanda e responder de maneira ágil a eventuais degradações nos sistemas de navegação aérea e na infraestrutura aeroportuária, preservando a fluidez e previsibilidade do tráfego aéreo.</w:t>
      </w:r>
    </w:p>
    <w:p>
      <w:pPr>
        <w:pStyle w:val="Corpodetexto"/>
      </w:pPr>
      <w:r>
        <w:t xml:space="preserve">Os diversos cenários ATFM, em função de seu caráter dinâmico, podem configurar situações como a que se observou em agosto, que foi o terceiro mês com a menor quantidade de medidas aplicadas – apesar de ter registrado o pico de demanda (254.453). A meteorologia, também caracterizada por sua dinamicidade, pode exercer maior ou menor influência nas operações, exigindo análise e monitoramento constantes para garantir a aplicação das medidas ATFM mais adequadas ao cenário apresentado.</w:t>
      </w:r>
    </w:p>
    <w:p>
      <w:pPr>
        <w:pStyle w:val="Corpodetexto"/>
      </w:pPr>
      <w:r>
        <w:t xml:space="preserve">Os resultados observados em 2025, no que se refere à aplicação de medidas ATFM, demonstram que as situações que implicam em redução de capacidade, especialmente as que envolvem manutenções programadas – seja de auxílios à navegação, seja de infraestrutura (pista) – devem ser coordenadas e avaliadas quanto ao seu impacto com a maior antecedência possível, garantindo alguma previsibilidade aos usuários. Por outro lado, diante de eventos não previstos (ou previstos, como o ciclone registrado em dezembro, mas para os quais é mais difícil antecipar as consequências), o trabalho em colaboração segue extremamente relevante para assegurar a fluidez das operações e atender, tanto quanto possível, as necessidades dos usuários.</w:t>
      </w:r>
    </w:p>
    <w:p>
      <w:pPr>
        <w:pStyle w:val="Corpodetexto"/>
      </w:pPr>
      <w:r>
        <w:rPr>
          <w:b/>
          <w:bCs/>
        </w:rPr>
        <w:t xml:space="preserve">CUSTO-BENEFÍCIO:</w:t>
      </w:r>
    </w:p>
    <w:p>
      <w:pPr>
        <w:pStyle w:val="Corpodetexto"/>
      </w:pPr>
      <w:r>
        <w:t xml:space="preserve">IDBR 06 – Horas de Login x Horas ATCO - Este indicador mede a relação entre as horas logadas dos controladores de tráfego aéreo (ATCO) e as horas escaladas, sem considerar a complexidade operacional, a demanda ou atividades paralelas.</w:t>
      </w:r>
    </w:p>
    <w:p>
      <w:pPr>
        <w:pStyle w:val="Corpodetexto"/>
      </w:pPr>
      <w:r>
        <w:t xml:space="preserve">A análise desse indicador se insere de forma mais adequada no contexto do projeto Total ATM, voltado à otimização da gestão dos recursos disponíveis na escala operacional, incluindo o trabalho do ATCO.</w:t>
      </w:r>
    </w:p>
    <w:p>
      <w:pPr>
        <w:pStyle w:val="Corpodetexto"/>
      </w:pPr>
      <w:r>
        <w:t xml:space="preserve">As bases de dados desse indicador estão ficando mais estáveis, o que permite o monitoramento e o acompanhamento mais estruturado dos resultados.</w:t>
      </w:r>
    </w:p>
    <w:p>
      <w:pPr>
        <w:pStyle w:val="Corpodetexto"/>
      </w:pPr>
      <w:r>
        <w:t xml:space="preserve">Recomendação: Como esse indicador ainda não possui meta definida no PCA 100-3, a eventual adoção de metas individualizadas pelos regionais ou pelos DTCEA deve ocorrer de forma cautelosa e alinhada ao DECEA. Nesse processo, a Seção de Performance pode apoiar esse alinhamento, contribuindo para mitigar eventuais limitações do indicador em determinadas decisões.</w:t>
      </w:r>
    </w:p>
    <w:p>
      <w:pPr>
        <w:pStyle w:val="Corpodetexto"/>
      </w:pPr>
      <w:r>
        <w:t xml:space="preserve">IDBR 08 – Índice de operacionalidade do ATCO – (Meta: 85%) – Este indicador avalia a eficiência da alocação dos ATCO dentro do SISCEAB, considerando a habilitação técnica válida para o exercício das funções.</w:t>
      </w:r>
    </w:p>
    <w:p>
      <w:pPr>
        <w:pStyle w:val="Corpodetexto"/>
      </w:pPr>
      <w:r>
        <w:t xml:space="preserve">Recomendação: Alguns DTCEA podem apresentar resultados abaixo da meta, o que pode ser esperado em função de características específicas do contexto operacional. Para que as decisões sejam tomadas de forma informada e consistente, os Destacamentos que registrarem desempenho inferior à meta devem apresentar as devidas justificativas à Comissão de Performance, contribuindo para o fortalecimento da gestão por performance no âmbito do SISCEAB. Essas análises podem ser adicionadas em futuros relatórios para que os motivos possam ser monitorados e contribuam para gestão por performance.</w:t>
      </w:r>
    </w:p>
    <w:p>
      <w:pPr>
        <w:pStyle w:val="Corpodetexto"/>
      </w:pPr>
      <w:r>
        <w:t xml:space="preserve">Recomendações: Avaliar a necessidade de diferenciação das metas, considerando as características operacionais de cada Destacamento.</w:t>
      </w:r>
    </w:p>
    <w:p>
      <w:pPr>
        <w:pStyle w:val="Corpodetexto"/>
      </w:pPr>
      <w:r>
        <w:rPr>
          <w:b/>
          <w:bCs/>
        </w:rPr>
        <w:t xml:space="preserve">PARTICIPAÇÃO DA COMUNIDADE ATM:</w:t>
      </w:r>
    </w:p>
    <w:p>
      <w:pPr>
        <w:pStyle w:val="Corpodetexto"/>
      </w:pPr>
      <w:r>
        <w:t xml:space="preserve">A Pesquisa de Satisfação do SISCEAB tem por intuito melhorar os serviços de tráfego aéreo no país, considerando as necessidades dos diferentes agentes do setor de transporte aéreo. Os resultados da pesquisa apontaram que a maioria dos participantes avalia positivamente a qualidade dos produtos e serviços fornecidos pelo DECEA, além da organização do espaço aéreo brasileiro. Também destacaram a importância da participação da Comunidade ATM nos processos de planejamento, implementação e operação do SISCEAB, assim como reconheceram os benefícios das recentes mudanças realizadas no sistema.</w:t>
      </w:r>
    </w:p>
    <w:p>
      <w:pPr>
        <w:pStyle w:val="Corpodetexto"/>
      </w:pPr>
      <w:r>
        <w:rPr>
          <w:b/>
          <w:bCs/>
        </w:rPr>
        <w:t xml:space="preserve">SEGURANÇA OPERACIONAL:</w:t>
      </w:r>
    </w:p>
    <w:p>
      <w:pPr>
        <w:pStyle w:val="Corpodetexto"/>
      </w:pPr>
      <w:r>
        <w:t xml:space="preserve">KPI 21 – Número de Incursões em Pista (Runway Incursion – RI) (Meta: abaixo de 2,96) – O resultado é equivalente ao IDSO RI apresentou uma redução de 59,5% em comparação com 2024. O valor ao final de 2025 foi quase três vezes inferior à meta estabelecida para o ano.</w:t>
      </w:r>
    </w:p>
    <w:p>
      <w:pPr>
        <w:pStyle w:val="Corpodetexto"/>
      </w:pPr>
      <w:r>
        <w:t xml:space="preserve">KPI 23 – Incidentes Classificados como Risco Crítico (Meta: abaixo de 0,04) - Os Incidentes de Tráfego Aéreo de Risco Crítico, totalizaram nove ocorrências em 2025, representando um aumento superior a 100% em relação ao ano anterior.</w:t>
      </w:r>
    </w:p>
    <w:p>
      <w:pPr>
        <w:pStyle w:val="Corpodetexto"/>
      </w:pPr>
      <w:r>
        <w:t xml:space="preserve">Esse crescimento decorre, em parte, da nova interpretação sobre as competências da ASEGCEA do CENIPA contidas na ICA 81-2. De acordo com entendimento anterior, alguns incidentes de Risco Crítico teriam sido reclassificados como de Risco Potencial, no entanto recentemente entendeu-se que o Incidente de Tráfego Aéreo de Risco Crítico pode ser chancelado apenas pela ASEGCEA o que acarretou aumento na quantidade desse tipo de evento.</w:t>
      </w:r>
    </w:p>
    <w:p>
      <w:pPr>
        <w:pStyle w:val="Corpodetexto"/>
      </w:pPr>
      <w:r>
        <w:t xml:space="preserve">O entendimento atualizado foi formalizado e divulgado aos Gerentes de Segurança Operacional das OPSNA/EPSNA por meio da Carta nº 2/ASEG-G/19661, de 10 de outubro de 2025.</w:t>
      </w:r>
    </w:p>
    <w:p>
      <w:pPr>
        <w:pStyle w:val="Corpodetexto"/>
      </w:pPr>
      <w:r>
        <w:t xml:space="preserve">KPI 23 - Incidentes Classificados como Risco Potencial (Meta: abaixo de 1,16) - Os Incidentes de Tráfego Aéreo de Risco Potencial, apresentaram aumento de 47,7% em relação a 2024. O valor do IDSO Risco Potencial ao final de 2025 superou a meta estabelecida para o ano.</w:t>
      </w:r>
    </w:p>
    <w:p>
      <w:pPr>
        <w:pStyle w:val="Corpodetexto"/>
      </w:pPr>
      <w:r>
        <w:t xml:space="preserve">KPI 23 - Alertas TCAS RA (Meta: abaixo de 1,55) - Os alertas de TCAS RA tiveram uma redução de 9,1% em relação a 2024. O valor do IDSO RA ao final de 2025 se manteve abaixo da meta estabelecida para o ano.</w:t>
      </w:r>
    </w:p>
    <w:p>
      <w:pPr>
        <w:pStyle w:val="Corpodetexto"/>
      </w:pPr>
      <w:r>
        <w:t xml:space="preserve">O DECEA, por meio da ASEGCEA, supervisiona o desempenho da segurança operacional dos PSNA. Esse monitoramento é consolidado em relatórios periódicos que avaliam os indicadores de interesse do SISCEAB e propõem ações recomendadas, fornecendo subsídios essenciais para a tomada de decisão dos gestores.</w:t>
      </w:r>
    </w:p>
    <w:p>
      <w:pPr>
        <w:pStyle w:val="Corpodetexto"/>
      </w:pPr>
      <w:r>
        <w:rPr>
          <w:b/>
          <w:bCs/>
        </w:rPr>
        <w:t xml:space="preserve">SEGURANÇA DA AVIAÇÃO:</w:t>
      </w:r>
    </w:p>
    <w:p>
      <w:pPr>
        <w:pStyle w:val="Corpodetexto"/>
      </w:pPr>
      <w:r>
        <w:t xml:space="preserve">Em 2025, foram registradas 471 ocorrências AVSEC no SISCEAB, representando um aumento de 114,09% em relação a 2024. Os incidentes reportados abrangeram ameaças como feixes de laser, interferência nas comunicações, uso de drones, interferência nos auxílios, falha no controle de acesso, roubo e furto, intrusão às instalações, apoderamento ilícito/acionamento 7500 e ameaça de bomba, sem registro de danos irreversíveis. Essas notificações foram fundamentais para fortalecer a prevenção e aprimorar as medidas de segurança operacional.</w:t>
      </w:r>
    </w:p>
    <w:p>
      <w:pPr>
        <w:pStyle w:val="Corpodetexto"/>
      </w:pPr>
      <w:r>
        <w:t xml:space="preserve">A compreensão consistente da metodologia de monitoramento AVSEC e dos impactos associados às ocorrências registradas constitui elemento fundamental para o fortalecimento da prevenção e da capacidade de resposta do sistema.</w:t>
      </w:r>
    </w:p>
    <w:p>
      <w:pPr>
        <w:pStyle w:val="Corpodetexto"/>
      </w:pPr>
      <w:r>
        <w:t xml:space="preserve">Nesse contexto, a análise sistemática dos registros permite identificar tendências, avaliar a efetividade das medidas existentes e subsidiar a definição de ações alinhadas às melhores práticas observadas no período. Cabe destacar que a necessidade do engajamento contínuo dos profissionais envolvidos, aliado ao uso estruturado das informações disponíveis, contribui para a mitigação de riscos, o aprimoramento dos processos de segurança e o aumento da resiliência do SISCEAB frente às ameaças à segurança da aviação civil.</w:t>
      </w:r>
    </w:p>
    <w:p>
      <w:pPr>
        <w:pStyle w:val="Corpodetexto"/>
      </w:pPr>
      <w:r>
        <w:rPr>
          <w:b/>
          <w:bCs/>
        </w:rPr>
        <w:t xml:space="preserve">RECOMENDAÇÕES:</w:t>
      </w:r>
    </w:p>
    <w:p>
      <w:pPr>
        <w:pStyle w:val="Corpodetexto"/>
      </w:pPr>
      <w:r>
        <w:t xml:space="preserve">Com base nas análises apresentadas neste Relatório de Performance ATM 2025, foram identificadas oportunidades de aprimoramento operacional e estratégico, que se traduzem nas seguintes recomendações:</w:t>
      </w:r>
    </w:p>
    <w:p>
      <w:pPr>
        <w:numPr>
          <w:ilvl w:val="0"/>
          <w:numId w:val="1007"/>
        </w:numPr>
      </w:pPr>
      <w:r>
        <w:t xml:space="preserve">Otimizar a gestão da infraestrutura aeroportuária nos hubs críticos, priorizando intervenções no ambiente de solo — pátios, taxiways e pontos de espera — nos aeroportos de Congonhas (SBSP) e Guarulhos (SBGR), associando essas melhorias à revisão de procedimentos e à coordenação entre os elos ATS e aeroportuários para reduzir tempos adicionais de táxi e mitigar impactos sistêmicos sobre a previsibilidade, a eficiência e a capacidade do SISCEAB.</w:t>
      </w:r>
    </w:p>
    <w:p>
      <w:pPr>
        <w:numPr>
          <w:ilvl w:val="0"/>
          <w:numId w:val="1007"/>
        </w:numPr>
      </w:pPr>
      <w:r>
        <w:t xml:space="preserve">Aprimorar o gerenciamento da capacidade e das taxas-pico nos principais hubs nacionais, com atenção especial a Guarulhos (SBGR) e Brasília (SBBR), alinhando capacidade declarada, planejamento tático e medidas de fluxo à demanda efetivamente observada, de modo a reduzir a variabilidade operacional e os efeitos em cadeia sobre a malha aérea.</w:t>
      </w:r>
    </w:p>
    <w:p>
      <w:pPr>
        <w:numPr>
          <w:ilvl w:val="0"/>
          <w:numId w:val="1007"/>
        </w:numPr>
      </w:pPr>
      <w:r>
        <w:t xml:space="preserve">Aprimorar a gestão da previsibilidade de chegada, por meio do monitoramento sistemático e da mitigação da antecipação excessiva de voos, especialmente nos aeroportos de maior complexidade operacional, reduzindo a variabilidade entre os horários planejados e realizados e fortalecendo o planejamento tático e a coordenação entre os elos do sistema ATM.</w:t>
      </w:r>
    </w:p>
    <w:p>
      <w:pPr>
        <w:numPr>
          <w:ilvl w:val="0"/>
          <w:numId w:val="1007"/>
        </w:numPr>
      </w:pPr>
      <w:r>
        <w:t xml:space="preserve">Monitorar a nova distribuição do tráfego na TMA São Paulo, considerando a migração da Aviação Geral de Congonhas (SBSP) para o Campo de Marte (SBMT), Jundiaí (SBJD) e outros aeródromos, bem como reforçar a coordenação entre os órgãos ATC envolvidos.</w:t>
      </w:r>
    </w:p>
    <w:p>
      <w:pPr>
        <w:numPr>
          <w:ilvl w:val="0"/>
          <w:numId w:val="1007"/>
        </w:numPr>
      </w:pPr>
      <w:r>
        <w:t xml:space="preserve">Reforçar o alinhamento entre o crescimento da demanda e a gestão do efetivo ATCO, priorizando as regiões e áreas terminais associadas aos aeroportos de maior complexidade operacional, como FIR Brasília, FIR Curitiba e CRCEA-SE, assegurando que capacitação, habilitação e alocação de recursos acompanhem a evolução do sistema.</w:t>
      </w:r>
    </w:p>
    <w:p>
      <w:pPr>
        <w:numPr>
          <w:ilvl w:val="0"/>
          <w:numId w:val="1007"/>
        </w:numPr>
      </w:pPr>
      <w:r>
        <w:t xml:space="preserve">Reforçar a adoção de estratégias para a redução dos tempos adicionais de</w:t>
      </w:r>
      <w:r>
        <w:t xml:space="preserve"> </w:t>
      </w:r>
      <w:r>
        <w:rPr>
          <w:i/>
          <w:iCs/>
        </w:rPr>
        <w:t xml:space="preserve">taxi-out</w:t>
      </w:r>
      <w:r>
        <w:t xml:space="preserve"> </w:t>
      </w:r>
      <w:r>
        <w:t xml:space="preserve">e</w:t>
      </w:r>
      <w:r>
        <w:t xml:space="preserve"> </w:t>
      </w:r>
      <w:r>
        <w:rPr>
          <w:i/>
          <w:iCs/>
        </w:rPr>
        <w:t xml:space="preserve">taxi-in</w:t>
      </w:r>
      <w:r>
        <w:t xml:space="preserve">, por meio do ajuste de procedimentos operacionais, da melhoria da coordenação entre os órgãos ATS e os operadores aeroportuários, aliados a utilização mais eficiente da infraestrutura disponível.</w:t>
      </w:r>
    </w:p>
    <w:p>
      <w:pPr>
        <w:numPr>
          <w:ilvl w:val="0"/>
          <w:numId w:val="1007"/>
        </w:numPr>
      </w:pPr>
      <w:r>
        <w:t xml:space="preserve">Expandir o uso de tecnologias de integração e compartilhamento de dados entre os sistemas de controle de tráfego aéreo, fortalecendo a fusão de informações operacionais, meteorológicas e de demanda, de modo a apoiar o planejamento tático e estratégico, aprimorar a previsibilidade das operações e elevar a eficiência global do desempenho operacional.</w:t>
      </w:r>
    </w:p>
    <w:p>
      <w:pPr>
        <w:numPr>
          <w:ilvl w:val="0"/>
          <w:numId w:val="1007"/>
        </w:numPr>
      </w:pPr>
      <w:r>
        <w:t xml:space="preserve">Ampliar o alcance e a maturidade do projeto TOTAL ATM, promovendo sua implementação progressiva e estruturada em todos os órgãos de controle, com foco na otimização do fluxo de tráfego aéreo, na gestão integrada do espaço aéreo e no suporte à tomada de decisão colaborativa.</w:t>
      </w:r>
    </w:p>
    <w:p>
      <w:pPr>
        <w:numPr>
          <w:ilvl w:val="0"/>
          <w:numId w:val="1007"/>
        </w:numPr>
      </w:pPr>
      <w:r>
        <w:t xml:space="preserve">Consolidar a cooperação com a Comunidade ATM nos aeroportos estratégicos, ampliando a transparência, a acessibilidade e o uso dos produtos informacionais e incentivando a participação ativa dos operadores aéreos, administradores aeroportuários e demais atores do setor nos processos decisórios.</w:t>
      </w:r>
    </w:p>
    <w:p>
      <w:pPr>
        <w:numPr>
          <w:ilvl w:val="0"/>
          <w:numId w:val="1007"/>
        </w:numPr>
      </w:pPr>
      <w:r>
        <w:t xml:space="preserve">Reavaliar e ajustar os parâmetros operacionais associados às medidas de Gerenciamento de Fluxo de Tráfego Aéreo (ATFM), buscando um equilíbrio mais eficiente entre a aplicação de espaçamentos mínimos em voo e o emprego de medidas em solo, como Ground Stops e Ground Delay Programs, de forma a mitigar restrições de capacidade, reduzir impactos operacionais e aumentar a previsibilidade.</w:t>
      </w:r>
    </w:p>
    <w:p>
      <w:pPr>
        <w:pStyle w:val="FirstParagraph"/>
      </w:pPr>
      <w:r>
        <w:t xml:space="preserve">A implementação coordenada dessas recomendações permitirá ao SISCEAB enfrentar de forma estruturada o crescimento sustentado da demanda e a elevada complexidade operacional observada em 2025, com foco nos aeroportos e áreas de maior impacto sistêmico. Ao integrar infraestrutura, procedimentos operacionais, uso estratégico de dados, gerenciamento de fluxo e recursos humanos, o sistema ampliará sua capacidade de resposta, elevará a previsibilidade e a eficiência das operações e reforçará a segurança, consolidando uma gestão do tráfego aéreo mais robusta e resiliente.</w:t>
      </w:r>
    </w:p>
    <w:bookmarkEnd w:id="494"/>
    <w:bookmarkStart w:id="495" w:name="referências"/>
    <w:p>
      <w:pPr>
        <w:pStyle w:val="Ttulo1"/>
      </w:pPr>
      <w:r>
        <w:t xml:space="preserve">5. REFERÊNCIAS</w:t>
      </w:r>
    </w:p>
    <w:p>
      <w:pPr>
        <w:pStyle w:val="FirstParagraph"/>
      </w:pPr>
      <w:r>
        <w:t xml:space="preserve">CENIPA.</w:t>
      </w:r>
      <w:r>
        <w:t xml:space="preserve"> </w:t>
      </w:r>
      <w:r>
        <w:rPr>
          <w:b/>
          <w:bCs/>
        </w:rPr>
        <w:t xml:space="preserve">NSCA 3-17: Sistema de reportes do SIPAER para a aviação civil brasileira.</w:t>
      </w:r>
      <w:r>
        <w:t xml:space="preserve"> </w:t>
      </w:r>
      <w:r>
        <w:t xml:space="preserve">Brasília, DF: Centro de Investigação e Prevenção de Acidentes Aeronáuticos, 2022.</w:t>
      </w:r>
    </w:p>
    <w:p>
      <w:pPr>
        <w:pStyle w:val="Corpodetexto"/>
      </w:pPr>
      <w:r>
        <w:t xml:space="preserve">CGNA.</w:t>
      </w:r>
      <w:r>
        <w:t xml:space="preserve"> </w:t>
      </w:r>
      <w:r>
        <w:rPr>
          <w:b/>
          <w:bCs/>
        </w:rPr>
        <w:t xml:space="preserve">Anuário estatístico de tráfego aéreo 2025.</w:t>
      </w:r>
      <w:r>
        <w:t xml:space="preserve"> </w:t>
      </w:r>
      <w:r>
        <w:t xml:space="preserve">Rio de Janeiro: Centro de Gerenciamento da Navegação Aérea, 2025.</w:t>
      </w:r>
    </w:p>
    <w:p>
      <w:pPr>
        <w:pStyle w:val="Corpodetexto"/>
      </w:pPr>
      <w:r>
        <w:t xml:space="preserve">DECEA.</w:t>
      </w:r>
      <w:r>
        <w:t xml:space="preserve"> </w:t>
      </w:r>
      <w:r>
        <w:rPr>
          <w:b/>
          <w:bCs/>
        </w:rPr>
        <w:t xml:space="preserve">ICA 63-33: Horário de trabalho do pessoal ATC, COM, MET, AIS, SAR e OPM.</w:t>
      </w:r>
      <w:r>
        <w:t xml:space="preserve"> </w:t>
      </w:r>
      <w:r>
        <w:t xml:space="preserve">Rio de Janeiro: Departamento de Controle do Espaço Aéreo, 2023.</w:t>
      </w:r>
    </w:p>
    <w:p>
      <w:pPr>
        <w:pStyle w:val="Corpodetexto"/>
      </w:pPr>
      <w:r>
        <w:t xml:space="preserve">DECEA.</w:t>
      </w:r>
      <w:r>
        <w:t xml:space="preserve"> </w:t>
      </w:r>
      <w:r>
        <w:rPr>
          <w:b/>
          <w:bCs/>
        </w:rPr>
        <w:t xml:space="preserve">ICA 81-1: Ocorrências de tráfego aéreo.</w:t>
      </w:r>
      <w:r>
        <w:t xml:space="preserve"> </w:t>
      </w:r>
      <w:r>
        <w:t xml:space="preserve">Rio de Janeiro: Departamento de Controle do Espaço Aéreo, 2023.</w:t>
      </w:r>
    </w:p>
    <w:p>
      <w:pPr>
        <w:pStyle w:val="Corpodetexto"/>
      </w:pPr>
      <w:r>
        <w:t xml:space="preserve">DECEA.</w:t>
      </w:r>
      <w:r>
        <w:t xml:space="preserve"> </w:t>
      </w:r>
      <w:r>
        <w:rPr>
          <w:b/>
          <w:bCs/>
        </w:rPr>
        <w:t xml:space="preserve">ICA 81-4: Instrução que trata do Programa para Prevenção de Ocorrências de Incursão em Pista na Prestação dos Serviços de Tráfego Aéreo.</w:t>
      </w:r>
      <w:r>
        <w:t xml:space="preserve"> </w:t>
      </w:r>
      <w:r>
        <w:t xml:space="preserve">Rio de Janeiro: Departamento de Controle do Espaço Aéreo, 2021.</w:t>
      </w:r>
    </w:p>
    <w:p>
      <w:pPr>
        <w:pStyle w:val="Corpodetexto"/>
      </w:pPr>
      <w:r>
        <w:t xml:space="preserve">DECEA.</w:t>
      </w:r>
      <w:r>
        <w:t xml:space="preserve"> </w:t>
      </w:r>
      <w:r>
        <w:rPr>
          <w:b/>
          <w:bCs/>
        </w:rPr>
        <w:t xml:space="preserve">ICA 100-12: Regras do ar.</w:t>
      </w:r>
      <w:r>
        <w:t xml:space="preserve"> </w:t>
      </w:r>
      <w:r>
        <w:t xml:space="preserve">Rio de Janeiro: Departamento de Controle do Espaço Aéreo, 2024.</w:t>
      </w:r>
    </w:p>
    <w:p>
      <w:pPr>
        <w:pStyle w:val="Corpodetexto"/>
      </w:pPr>
      <w:r>
        <w:t xml:space="preserve">DECEA.</w:t>
      </w:r>
      <w:r>
        <w:t xml:space="preserve"> </w:t>
      </w:r>
      <w:r>
        <w:rPr>
          <w:b/>
          <w:bCs/>
        </w:rPr>
        <w:t xml:space="preserve">ICA 100-19: Normas e procedimentos para operação do GCA.</w:t>
      </w:r>
      <w:r>
        <w:t xml:space="preserve"> </w:t>
      </w:r>
      <w:r>
        <w:t xml:space="preserve">Rio de Janeiro: Departamento de Controle do Espaço Aéreo, 2017.</w:t>
      </w:r>
    </w:p>
    <w:p>
      <w:pPr>
        <w:pStyle w:val="Corpodetexto"/>
      </w:pPr>
      <w:r>
        <w:t xml:space="preserve">DECEA.</w:t>
      </w:r>
      <w:r>
        <w:t xml:space="preserve"> </w:t>
      </w:r>
      <w:r>
        <w:rPr>
          <w:b/>
          <w:bCs/>
        </w:rPr>
        <w:t xml:space="preserve">ICA 100-22: Serviço de gerenciamento de fluxo de tráfego aéreo.</w:t>
      </w:r>
      <w:r>
        <w:t xml:space="preserve"> </w:t>
      </w:r>
      <w:r>
        <w:t xml:space="preserve">Rio de Janeiro: Departamento de Controle do Espaço Aéreo, 2023.</w:t>
      </w:r>
    </w:p>
    <w:p>
      <w:pPr>
        <w:pStyle w:val="Corpodetexto"/>
      </w:pPr>
      <w:r>
        <w:t xml:space="preserve">DECEA.</w:t>
      </w:r>
      <w:r>
        <w:t xml:space="preserve"> </w:t>
      </w:r>
      <w:r>
        <w:rPr>
          <w:b/>
          <w:bCs/>
        </w:rPr>
        <w:t xml:space="preserve">ICA 105-17: Centros meteorológicos.</w:t>
      </w:r>
      <w:r>
        <w:t xml:space="preserve"> </w:t>
      </w:r>
      <w:r>
        <w:t xml:space="preserve">Rio de Janeiro: Departamento de Controle do Espaço Aéreo, 2025.</w:t>
      </w:r>
    </w:p>
    <w:p>
      <w:pPr>
        <w:pStyle w:val="Corpodetexto"/>
      </w:pPr>
      <w:r>
        <w:t xml:space="preserve">DECEA.</w:t>
      </w:r>
      <w:r>
        <w:t xml:space="preserve"> </w:t>
      </w:r>
      <w:r>
        <w:rPr>
          <w:b/>
          <w:bCs/>
        </w:rPr>
        <w:t xml:space="preserve">ICA 800-8: Garantia da segurança AVSEC para o SISCEAB.</w:t>
      </w:r>
      <w:r>
        <w:t xml:space="preserve"> </w:t>
      </w:r>
      <w:r>
        <w:t xml:space="preserve">Rio de Janeiro: Departamento de Controle do Espaço Aéreo, 2022.</w:t>
      </w:r>
    </w:p>
    <w:p>
      <w:pPr>
        <w:pStyle w:val="Corpodetexto"/>
      </w:pPr>
      <w:r>
        <w:t xml:space="preserve">DECEA.</w:t>
      </w:r>
      <w:r>
        <w:t xml:space="preserve"> </w:t>
      </w:r>
      <w:r>
        <w:rPr>
          <w:b/>
          <w:bCs/>
        </w:rPr>
        <w:t xml:space="preserve">MCA 81-4: Manual de gerenciamento da segurança operacional do SISCEAB.</w:t>
      </w:r>
      <w:r>
        <w:t xml:space="preserve"> </w:t>
      </w:r>
      <w:r>
        <w:t xml:space="preserve">Rio de Janeiro: Departamento de Controle do Espaço Aéreo, 2023.</w:t>
      </w:r>
    </w:p>
    <w:p>
      <w:pPr>
        <w:pStyle w:val="Corpodetexto"/>
      </w:pPr>
      <w:r>
        <w:t xml:space="preserve">DECEA.</w:t>
      </w:r>
      <w:r>
        <w:t xml:space="preserve"> </w:t>
      </w:r>
      <w:r>
        <w:rPr>
          <w:b/>
          <w:bCs/>
        </w:rPr>
        <w:t xml:space="preserve">MCA 100-22: Metodologia de indicadores ATM do SISCEAB.</w:t>
      </w:r>
      <w:r>
        <w:t xml:space="preserve"> </w:t>
      </w:r>
      <w:r>
        <w:t xml:space="preserve">Rio de Janeiro: Departamento de Controle do Espaço Aéreo, 2020.</w:t>
      </w:r>
    </w:p>
    <w:p>
      <w:pPr>
        <w:pStyle w:val="Corpodetexto"/>
      </w:pPr>
      <w:r>
        <w:t xml:space="preserve">DECEA.</w:t>
      </w:r>
      <w:r>
        <w:t xml:space="preserve"> </w:t>
      </w:r>
      <w:r>
        <w:rPr>
          <w:b/>
          <w:bCs/>
        </w:rPr>
        <w:t xml:space="preserve">MCA 100-26: Capacidade ATC.</w:t>
      </w:r>
      <w:r>
        <w:t xml:space="preserve"> </w:t>
      </w:r>
      <w:r>
        <w:t xml:space="preserve">Rio de Janeiro: Departamento de Controle do Espaço Aéreo, 2025.</w:t>
      </w:r>
    </w:p>
    <w:p>
      <w:pPr>
        <w:pStyle w:val="Corpodetexto"/>
      </w:pPr>
      <w:r>
        <w:t xml:space="preserve">DECEA.</w:t>
      </w:r>
      <w:r>
        <w:t xml:space="preserve"> </w:t>
      </w:r>
      <w:r>
        <w:rPr>
          <w:b/>
          <w:bCs/>
        </w:rPr>
        <w:t xml:space="preserve">MCA 105-1: Manual de centro meteorológico militar.</w:t>
      </w:r>
      <w:r>
        <w:t xml:space="preserve"> </w:t>
      </w:r>
      <w:r>
        <w:t xml:space="preserve">Rio de Janeiro: Departamento de Controle do Espaço Aéreo, 2021.</w:t>
      </w:r>
    </w:p>
    <w:p>
      <w:pPr>
        <w:pStyle w:val="Corpodetexto"/>
      </w:pPr>
      <w:r>
        <w:t xml:space="preserve">DECEA.</w:t>
      </w:r>
      <w:r>
        <w:t xml:space="preserve"> </w:t>
      </w:r>
      <w:r>
        <w:rPr>
          <w:b/>
          <w:bCs/>
        </w:rPr>
        <w:t xml:space="preserve">PCA 100-3: Plano de performance ATM do DECEA (2024-2028).</w:t>
      </w:r>
      <w:r>
        <w:t xml:space="preserve"> </w:t>
      </w:r>
      <w:r>
        <w:t xml:space="preserve">Rio de Janeiro: Departamento de Controle do Espaço Aéreo, 2024.</w:t>
      </w:r>
    </w:p>
    <w:p>
      <w:pPr>
        <w:pStyle w:val="Corpodetexto"/>
      </w:pPr>
      <w:r>
        <w:t xml:space="preserve">ICAO.</w:t>
      </w:r>
      <w:r>
        <w:t xml:space="preserve"> </w:t>
      </w:r>
      <w:r>
        <w:rPr>
          <w:b/>
          <w:bCs/>
        </w:rPr>
        <w:t xml:space="preserve">Doc 4444: Procedures for air navigation services (PANS) – Air traffic management.</w:t>
      </w:r>
      <w:r>
        <w:t xml:space="preserve"> </w:t>
      </w:r>
      <w:r>
        <w:t xml:space="preserve">16. ed. Montréal: International Civil Aviation Organization, 2016.</w:t>
      </w:r>
    </w:p>
    <w:p>
      <w:pPr>
        <w:pStyle w:val="Corpodetexto"/>
      </w:pPr>
      <w:r>
        <w:t xml:space="preserve">ICAO.</w:t>
      </w:r>
      <w:r>
        <w:t xml:space="preserve"> </w:t>
      </w:r>
      <w:r>
        <w:rPr>
          <w:b/>
          <w:bCs/>
        </w:rPr>
        <w:t xml:space="preserve">Doc 9750: Global air navigation plan (GANP).</w:t>
      </w:r>
      <w:r>
        <w:t xml:space="preserve"> </w:t>
      </w:r>
      <w:r>
        <w:t xml:space="preserve">7. ed. Montréal: International Civil Aviation Organization, 2016. Disponível em: https://www4.icao.int/ganpportal/. Acesso em: 3 fev. 2024.</w:t>
      </w:r>
    </w:p>
    <w:p>
      <w:pPr>
        <w:pStyle w:val="Corpodetexto"/>
      </w:pPr>
      <w:r>
        <w:t xml:space="preserve">ICAO.</w:t>
      </w:r>
      <w:r>
        <w:t xml:space="preserve"> </w:t>
      </w:r>
      <w:r>
        <w:rPr>
          <w:b/>
          <w:bCs/>
        </w:rPr>
        <w:t xml:space="preserve">Doc 9835: Manual on the implementation of ICAO language proficiency requirements.</w:t>
      </w:r>
      <w:r>
        <w:t xml:space="preserve"> </w:t>
      </w:r>
      <w:r>
        <w:t xml:space="preserve">2. ed. Montréal: International Civil Aviation Organization, 2010.</w:t>
      </w:r>
    </w:p>
    <w:p>
      <w:pPr>
        <w:pStyle w:val="Corpodetexto"/>
      </w:pPr>
      <w:r>
        <w:t xml:space="preserve">ICAO.</w:t>
      </w:r>
      <w:r>
        <w:t xml:space="preserve"> </w:t>
      </w:r>
      <w:r>
        <w:rPr>
          <w:b/>
          <w:bCs/>
        </w:rPr>
        <w:t xml:space="preserve">Doc 9988: Guidance on the development of states’ action plan on CO₂ emissions reduction activities.</w:t>
      </w:r>
      <w:r>
        <w:t xml:space="preserve"> </w:t>
      </w:r>
      <w:r>
        <w:t xml:space="preserve">4. ed. Montréal: International Civil Aviation Organization, 2024.</w:t>
      </w:r>
    </w:p>
    <w:p>
      <w:pPr>
        <w:pStyle w:val="Corpodetexto"/>
      </w:pPr>
      <w:r>
        <w:t xml:space="preserve">ICAO.</w:t>
      </w:r>
      <w:r>
        <w:t xml:space="preserve"> </w:t>
      </w:r>
      <w:r>
        <w:rPr>
          <w:b/>
          <w:bCs/>
        </w:rPr>
        <w:t xml:space="preserve">Doc 10118: Global aviation security plan.</w:t>
      </w:r>
      <w:r>
        <w:t xml:space="preserve"> </w:t>
      </w:r>
      <w:r>
        <w:t xml:space="preserve">2. ed. Montréal: International Civil Aviation Organization, 2024.</w:t>
      </w:r>
    </w:p>
    <w:bookmarkEnd w:id="495"/>
    <w:bookmarkStart w:id="501" w:name="anexo-a"/>
    <w:p>
      <w:pPr>
        <w:pStyle w:val="Ttulo1"/>
      </w:pPr>
      <w:r>
        <w:t xml:space="preserve">ANEXO A</w:t>
      </w:r>
    </w:p>
    <w:p>
      <w:pPr>
        <w:pStyle w:val="FirstParagraph"/>
      </w:pPr>
      <w:r>
        <w:rPr>
          <w:b/>
          <w:bCs/>
        </w:rPr>
        <w:t xml:space="preserve">ÓRGÃOS ATS</w:t>
      </w:r>
    </w:p>
    <w:p>
      <w:pPr>
        <w:pStyle w:val="Corpodetexto"/>
      </w:pPr>
      <w:r>
        <w:t xml:space="preserve">A seguir, são discriminados os órgãos ATS por Regional. Quando o APP ou TWR também prestar Serviço de Informação de Voo como Rádio (AFIS) não constará na relação dos AFIS a localidade já citada como APP ou TWR.</w:t>
      </w:r>
    </w:p>
    <w:p>
      <w:pPr>
        <w:pStyle w:val="Corpodetexto"/>
      </w:pPr>
      <w:r>
        <w:rPr>
          <w:b/>
          <w:bCs/>
        </w:rPr>
        <w:t xml:space="preserve">CINDACTA I</w:t>
      </w:r>
    </w:p>
    <w:p>
      <w:pPr>
        <w:pStyle w:val="Corpodetexto"/>
      </w:pPr>
      <w:r>
        <w:t xml:space="preserve">O CINDACTA I é composto por 1 ACC, 9 APP, 10 TWR, 15 AFIS e 1 R-AFIS. Em determinados horários, algumas TWR operam como AFIS, conforme especificado na</w:t>
      </w:r>
      <w:r>
        <w:t xml:space="preserve"> </w:t>
      </w:r>
      <w:hyperlink w:anchor="tbl-quadro-cindacta1">
        <w:r>
          <w:rPr>
            <w:rStyle w:val="Hyperlink"/>
          </w:rPr>
          <w:t xml:space="preserve">Tabela 5.1</w:t>
        </w:r>
      </w:hyperlink>
      <w:r>
        <w:t xml:space="preserve"> </w:t>
      </w:r>
      <w:r>
        <w:t xml:space="preserve">abaixo:</w:t>
      </w:r>
    </w:p>
    <w:tbl>
      <w:tblPr>
        <w:tblStyle w:val="Table"/>
        <w:tblW w:type="pct" w:w="5000"/>
        <w:tblLayout w:type="fixed"/>
        <w:tblLook w:firstRow="0" w:lastRow="0" w:firstColumn="0" w:lastColumn="0" w:noHBand="0" w:noVBand="0" w:val="0000"/>
      </w:tblPr>
      <w:tblGrid>
        <w:gridCol w:w="7920"/>
      </w:tblGrid>
      <w:tr>
        <w:tc>
          <w:tcPr/>
          <w:bookmarkStart w:id="496" w:name="tbl-quadro-cindacta1"/>
          <w:p>
            <w:pPr>
              <w:jc w:val="center"/>
            </w:pPr>
            <w:pPr>
              <w:jc w:val="left"/>
              <w:spacing w:before="200"/>
              <w:pStyle w:val="ImageCaption"/>
            </w:pPr>
            <w:r>
              <w:t xml:space="preserve">Tabela 5.1: Órgãos ATS do CINDACTA I. Fonte: DECEA</w:t>
            </w:r>
          </w:p>
          <w:tbl>
            <w:tblPr>
              <w:tblStyle w:val="Table"/>
              <w:tblW w:type="pct" w:w="5000"/>
              <w:tblLayout w:type="fixed"/>
              <w:tblLook w:firstRow="1" w:lastRow="0" w:firstColumn="0" w:lastColumn="0" w:noHBand="0" w:noVBand="0" w:val="0020"/>
            </w:tblPr>
            <w:tblGrid>
              <w:gridCol w:w="642"/>
              <w:gridCol w:w="428"/>
              <w:gridCol w:w="428"/>
              <w:gridCol w:w="1230"/>
              <w:gridCol w:w="1872"/>
              <w:gridCol w:w="1605"/>
              <w:gridCol w:w="1712"/>
            </w:tblGrid>
            <w:tr>
              <w:trPr>
                <w:tblHeader w:val="on"/>
              </w:trPr>
              <w:tc>
                <w:tcPr/>
                <w:p>
                  <w:pPr>
                    <w:pStyle w:val="Compact"/>
                    <w:jc w:val="center"/>
                    <w:jc w:val="center"/>
                  </w:pPr>
                  <w:r>
                    <w:t xml:space="preserve">REGIONAL</w:t>
                  </w:r>
                </w:p>
              </w:tc>
              <w:tc>
                <w:tcPr/>
                <w:p>
                  <w:pPr>
                    <w:pStyle w:val="Compact"/>
                    <w:jc w:val="center"/>
                    <w:jc w:val="center"/>
                  </w:pPr>
                  <w:r>
                    <w:t xml:space="preserve">ÓRGÃO</w:t>
                  </w:r>
                </w:p>
              </w:tc>
              <w:tc>
                <w:tcPr/>
                <w:p>
                  <w:pPr>
                    <w:pStyle w:val="Compact"/>
                    <w:jc w:val="center"/>
                    <w:jc w:val="center"/>
                  </w:pPr>
                  <w:r>
                    <w:t xml:space="preserve">CÓDIGO</w:t>
                  </w:r>
                </w:p>
              </w:tc>
              <w:tc>
                <w:tcPr/>
                <w:p>
                  <w:pPr>
                    <w:pStyle w:val="Compact"/>
                    <w:jc w:val="center"/>
                    <w:jc w:val="center"/>
                  </w:pPr>
                  <w:r>
                    <w:t xml:space="preserve">NOME</w:t>
                  </w:r>
                </w:p>
              </w:tc>
              <w:tc>
                <w:tcPr/>
                <w:p>
                  <w:pPr>
                    <w:pStyle w:val="Compact"/>
                    <w:jc w:val="center"/>
                    <w:jc w:val="center"/>
                  </w:pPr>
                  <w:r>
                    <w:t xml:space="preserve">RESPONSÁVEL/DESTACAMENTO DO ORGÃO</w:t>
                  </w:r>
                </w:p>
              </w:tc>
              <w:tc>
                <w:tcPr/>
                <w:p>
                  <w:pPr>
                    <w:pStyle w:val="Compact"/>
                    <w:jc w:val="center"/>
                    <w:jc w:val="center"/>
                  </w:pPr>
                  <w:r>
                    <w:t xml:space="preserve">OPERADOR DO ÓRGÃO</w:t>
                  </w:r>
                </w:p>
              </w:tc>
              <w:tc>
                <w:tcPr/>
                <w:p>
                  <w:pPr>
                    <w:pStyle w:val="Compact"/>
                    <w:jc w:val="center"/>
                    <w:jc w:val="center"/>
                  </w:pPr>
                  <w:r>
                    <w:t xml:space="preserve">OPERADOR AEROPORTUÁRIO</w:t>
                  </w:r>
                </w:p>
              </w:tc>
            </w:tr>
            <w:tr>
              <w:tc>
                <w:tcPr/>
                <w:p>
                  <w:pPr>
                    <w:pStyle w:val="Compact"/>
                    <w:jc w:val="center"/>
                    <w:jc w:val="center"/>
                  </w:pPr>
                  <w:r>
                    <w:t xml:space="preserve">CINDACTA I</w:t>
                  </w:r>
                </w:p>
              </w:tc>
              <w:tc>
                <w:tcPr/>
                <w:p>
                  <w:pPr>
                    <w:pStyle w:val="Compact"/>
                    <w:jc w:val="center"/>
                    <w:jc w:val="center"/>
                  </w:pPr>
                  <w:r>
                    <w:t xml:space="preserve">ACC</w:t>
                  </w:r>
                </w:p>
              </w:tc>
              <w:tc>
                <w:tcPr/>
                <w:p>
                  <w:pPr>
                    <w:pStyle w:val="Compact"/>
                    <w:jc w:val="center"/>
                    <w:jc w:val="center"/>
                  </w:pPr>
                  <w:r>
                    <w:t xml:space="preserve">SBBS</w:t>
                  </w:r>
                </w:p>
              </w:tc>
              <w:tc>
                <w:tcPr/>
                <w:p>
                  <w:pPr>
                    <w:pStyle w:val="Compact"/>
                    <w:jc w:val="center"/>
                    <w:jc w:val="center"/>
                  </w:pPr>
                  <w:r>
                    <w:t xml:space="preserve">Brasília</w:t>
                  </w:r>
                </w:p>
              </w:tc>
              <w:tc>
                <w:tcPr/>
                <w:p>
                  <w:pPr>
                    <w:pStyle w:val="Compact"/>
                    <w:jc w:val="center"/>
                    <w:jc w:val="center"/>
                  </w:pPr>
                  <w:r>
                    <w:t xml:space="preserve"> CINDACTA I</w:t>
                  </w:r>
                </w:p>
              </w:tc>
              <w:tc>
                <w:tcPr/>
                <w:p>
                  <w:pPr>
                    <w:pStyle w:val="Compact"/>
                    <w:jc w:val="center"/>
                    <w:jc w:val="center"/>
                  </w:pPr>
                  <w:r>
                    <w:t xml:space="preserve"> CINDACTA I</w:t>
                  </w:r>
                </w:p>
              </w:tc>
              <w:tc>
                <w:tcPr/>
                <w:p>
                  <w:pPr>
                    <w:pStyle w:val="Compact"/>
                    <w:jc w:val="center"/>
                    <w:jc w:val="center"/>
                  </w:pPr>
                  <w:r>
                    <w:t xml:space="preserve">-</w:t>
                  </w:r>
                </w:p>
              </w:tc>
            </w:tr>
            <w:tr>
              <w:tc>
                <w:tcPr/>
                <w:p>
                  <w:pPr>
                    <w:pStyle w:val="Compact"/>
                    <w:jc w:val="center"/>
                    <w:jc w:val="center"/>
                  </w:pPr>
                  <w:r>
                    <w:t xml:space="preserve">CINDACTA I</w:t>
                  </w:r>
                </w:p>
              </w:tc>
              <w:tc>
                <w:tcPr/>
                <w:p>
                  <w:pPr>
                    <w:pStyle w:val="Compact"/>
                    <w:jc w:val="center"/>
                    <w:jc w:val="center"/>
                  </w:pPr>
                  <w:r>
                    <w:t xml:space="preserve">APP</w:t>
                  </w:r>
                </w:p>
              </w:tc>
              <w:tc>
                <w:tcPr/>
                <w:p>
                  <w:pPr>
                    <w:pStyle w:val="Compact"/>
                    <w:jc w:val="center"/>
                    <w:jc w:val="center"/>
                  </w:pPr>
                  <w:r>
                    <w:t xml:space="preserve">SBWH</w:t>
                  </w:r>
                </w:p>
              </w:tc>
              <w:tc>
                <w:tcPr/>
                <w:p>
                  <w:pPr>
                    <w:pStyle w:val="Compact"/>
                    <w:jc w:val="center"/>
                    <w:jc w:val="center"/>
                  </w:pPr>
                  <w:r>
                    <w:t xml:space="preserve">Belo Horizonte</w:t>
                  </w:r>
                </w:p>
              </w:tc>
              <w:tc>
                <w:tcPr/>
                <w:p>
                  <w:pPr>
                    <w:pStyle w:val="Compact"/>
                    <w:jc w:val="center"/>
                    <w:jc w:val="center"/>
                  </w:pPr>
                  <w:r>
                    <w:t xml:space="preserve"> DTCEA-CF</w:t>
                  </w:r>
                </w:p>
              </w:tc>
              <w:tc>
                <w:tcPr/>
                <w:p>
                  <w:pPr>
                    <w:pStyle w:val="Compact"/>
                    <w:jc w:val="center"/>
                    <w:jc w:val="center"/>
                  </w:pPr>
                  <w:r>
                    <w:t xml:space="preserve"> DTCEA-CF</w:t>
                  </w:r>
                </w:p>
              </w:tc>
              <w:tc>
                <w:tcPr/>
                <w:p>
                  <w:pPr>
                    <w:pStyle w:val="Compact"/>
                    <w:jc w:val="center"/>
                    <w:jc w:val="center"/>
                  </w:pPr>
                  <w:r>
                    <w:t xml:space="preserve">-</w:t>
                  </w:r>
                </w:p>
              </w:tc>
            </w:tr>
            <w:tr>
              <w:tc>
                <w:tcPr/>
                <w:p>
                  <w:pPr>
                    <w:pStyle w:val="Compact"/>
                    <w:jc w:val="center"/>
                    <w:jc w:val="center"/>
                  </w:pPr>
                  <w:r>
                    <w:t xml:space="preserve">CINDACTA I</w:t>
                  </w:r>
                </w:p>
              </w:tc>
              <w:tc>
                <w:tcPr/>
                <w:p>
                  <w:pPr>
                    <w:pStyle w:val="Compact"/>
                    <w:jc w:val="center"/>
                    <w:jc w:val="center"/>
                  </w:pPr>
                  <w:r>
                    <w:t xml:space="preserve">APP</w:t>
                  </w:r>
                </w:p>
              </w:tc>
              <w:tc>
                <w:tcPr/>
                <w:p>
                  <w:pPr>
                    <w:pStyle w:val="Compact"/>
                    <w:jc w:val="center"/>
                    <w:jc w:val="center"/>
                  </w:pPr>
                  <w:r>
                    <w:t xml:space="preserve">SBWR</w:t>
                  </w:r>
                </w:p>
              </w:tc>
              <w:tc>
                <w:tcPr/>
                <w:p>
                  <w:pPr>
                    <w:pStyle w:val="Compact"/>
                    <w:jc w:val="center"/>
                    <w:jc w:val="center"/>
                  </w:pPr>
                  <w:r>
                    <w:t xml:space="preserve">Brasília</w:t>
                  </w:r>
                </w:p>
              </w:tc>
              <w:tc>
                <w:tcPr/>
                <w:p>
                  <w:pPr>
                    <w:pStyle w:val="Compact"/>
                    <w:jc w:val="center"/>
                    <w:jc w:val="center"/>
                  </w:pPr>
                  <w:r>
                    <w:t xml:space="preserve"> CINDACTA I</w:t>
                  </w:r>
                </w:p>
              </w:tc>
              <w:tc>
                <w:tcPr/>
                <w:p>
                  <w:pPr>
                    <w:pStyle w:val="Compact"/>
                    <w:jc w:val="center"/>
                    <w:jc w:val="center"/>
                  </w:pPr>
                  <w:r>
                    <w:t xml:space="preserve"> CINDACTA I</w:t>
                  </w:r>
                </w:p>
              </w:tc>
              <w:tc>
                <w:tcPr/>
                <w:p>
                  <w:pPr>
                    <w:pStyle w:val="Compact"/>
                    <w:jc w:val="center"/>
                    <w:jc w:val="center"/>
                  </w:pPr>
                  <w:r>
                    <w:t xml:space="preserve">-</w:t>
                  </w:r>
                </w:p>
              </w:tc>
            </w:tr>
            <w:tr>
              <w:tc>
                <w:tcPr/>
                <w:p>
                  <w:pPr>
                    <w:pStyle w:val="Compact"/>
                    <w:jc w:val="center"/>
                    <w:jc w:val="center"/>
                  </w:pPr>
                  <w:r>
                    <w:t xml:space="preserve">CINDACTA I</w:t>
                  </w:r>
                </w:p>
              </w:tc>
              <w:tc>
                <w:tcPr/>
                <w:p>
                  <w:pPr>
                    <w:pStyle w:val="Compact"/>
                    <w:jc w:val="center"/>
                    <w:jc w:val="center"/>
                  </w:pPr>
                  <w:r>
                    <w:t xml:space="preserve">APP</w:t>
                  </w:r>
                </w:p>
              </w:tc>
              <w:tc>
                <w:tcPr/>
                <w:p>
                  <w:pPr>
                    <w:pStyle w:val="Compact"/>
                    <w:jc w:val="center"/>
                    <w:jc w:val="center"/>
                  </w:pPr>
                  <w:r>
                    <w:t xml:space="preserve">SBXD</w:t>
                  </w:r>
                </w:p>
              </w:tc>
              <w:tc>
                <w:tcPr/>
                <w:p>
                  <w:pPr>
                    <w:pStyle w:val="Compact"/>
                    <w:jc w:val="center"/>
                    <w:jc w:val="center"/>
                  </w:pPr>
                  <w:r>
                    <w:t xml:space="preserve">Palmas</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w:t>
                  </w:r>
                </w:p>
              </w:tc>
            </w:tr>
            <w:tr>
              <w:tc>
                <w:tcPr/>
                <w:p>
                  <w:pPr>
                    <w:pStyle w:val="Compact"/>
                    <w:jc w:val="center"/>
                    <w:jc w:val="center"/>
                  </w:pPr>
                  <w:r>
                    <w:t xml:space="preserve">CINDACTA I</w:t>
                  </w:r>
                </w:p>
              </w:tc>
              <w:tc>
                <w:tcPr/>
                <w:p>
                  <w:pPr>
                    <w:pStyle w:val="Compact"/>
                    <w:jc w:val="center"/>
                    <w:jc w:val="center"/>
                  </w:pPr>
                  <w:r>
                    <w:t xml:space="preserve">APP</w:t>
                  </w:r>
                </w:p>
              </w:tc>
              <w:tc>
                <w:tcPr/>
                <w:p>
                  <w:pPr>
                    <w:pStyle w:val="Compact"/>
                    <w:jc w:val="center"/>
                    <w:jc w:val="center"/>
                  </w:pPr>
                  <w:r>
                    <w:t xml:space="preserve">SBXN</w:t>
                  </w:r>
                </w:p>
              </w:tc>
              <w:tc>
                <w:tcPr/>
                <w:p>
                  <w:pPr>
                    <w:pStyle w:val="Compact"/>
                    <w:jc w:val="center"/>
                    <w:jc w:val="center"/>
                  </w:pPr>
                  <w:r>
                    <w:t xml:space="preserve">Anápolis</w:t>
                  </w:r>
                </w:p>
              </w:tc>
              <w:tc>
                <w:tcPr/>
                <w:p>
                  <w:pPr>
                    <w:pStyle w:val="Compact"/>
                    <w:jc w:val="center"/>
                    <w:jc w:val="center"/>
                  </w:pPr>
                  <w:r>
                    <w:t xml:space="preserve">DTCEA-AN</w:t>
                  </w:r>
                </w:p>
              </w:tc>
              <w:tc>
                <w:tcPr/>
                <w:p>
                  <w:pPr>
                    <w:pStyle w:val="Compact"/>
                    <w:jc w:val="center"/>
                    <w:jc w:val="center"/>
                  </w:pPr>
                  <w:r>
                    <w:t xml:space="preserve">DTCEA-AN</w:t>
                  </w:r>
                </w:p>
              </w:tc>
              <w:tc>
                <w:tcPr/>
                <w:p>
                  <w:pPr>
                    <w:pStyle w:val="Compact"/>
                    <w:jc w:val="center"/>
                    <w:jc w:val="center"/>
                  </w:pPr>
                  <w:r>
                    <w:t xml:space="preserve">-</w:t>
                  </w:r>
                </w:p>
              </w:tc>
            </w:tr>
            <w:tr>
              <w:tc>
                <w:tcPr/>
                <w:p>
                  <w:pPr>
                    <w:pStyle w:val="Compact"/>
                    <w:jc w:val="center"/>
                    <w:jc w:val="center"/>
                  </w:pPr>
                  <w:r>
                    <w:t xml:space="preserve">CINDACTA I</w:t>
                  </w:r>
                </w:p>
              </w:tc>
              <w:tc>
                <w:tcPr/>
                <w:p>
                  <w:pPr>
                    <w:pStyle w:val="Compact"/>
                    <w:jc w:val="center"/>
                    <w:jc w:val="center"/>
                  </w:pPr>
                  <w:r>
                    <w:t xml:space="preserve">APP</w:t>
                  </w:r>
                </w:p>
              </w:tc>
              <w:tc>
                <w:tcPr/>
                <w:p>
                  <w:pPr>
                    <w:pStyle w:val="Compact"/>
                    <w:jc w:val="center"/>
                    <w:jc w:val="center"/>
                  </w:pPr>
                  <w:r>
                    <w:t xml:space="preserve">SBXQ</w:t>
                  </w:r>
                </w:p>
              </w:tc>
              <w:tc>
                <w:tcPr/>
                <w:p>
                  <w:pPr>
                    <w:pStyle w:val="Compact"/>
                    <w:jc w:val="center"/>
                    <w:jc w:val="center"/>
                  </w:pPr>
                  <w:r>
                    <w:t xml:space="preserve">Academia</w:t>
                  </w:r>
                </w:p>
              </w:tc>
              <w:tc>
                <w:tcPr/>
                <w:p>
                  <w:pPr>
                    <w:pStyle w:val="Compact"/>
                    <w:jc w:val="center"/>
                    <w:jc w:val="center"/>
                  </w:pPr>
                  <w:r>
                    <w:t xml:space="preserve"> DTCEA-YS</w:t>
                  </w:r>
                </w:p>
              </w:tc>
              <w:tc>
                <w:tcPr/>
                <w:p>
                  <w:pPr>
                    <w:pStyle w:val="Compact"/>
                    <w:jc w:val="center"/>
                    <w:jc w:val="center"/>
                  </w:pPr>
                  <w:r>
                    <w:t xml:space="preserve"> DTCEA-YS</w:t>
                  </w:r>
                </w:p>
              </w:tc>
              <w:tc>
                <w:tcPr/>
                <w:p>
                  <w:pPr>
                    <w:pStyle w:val="Compact"/>
                    <w:jc w:val="center"/>
                    <w:jc w:val="center"/>
                  </w:pPr>
                  <w:r>
                    <w:t xml:space="preserve">-</w:t>
                  </w:r>
                </w:p>
              </w:tc>
            </w:tr>
            <w:tr>
              <w:tc>
                <w:tcPr/>
                <w:p>
                  <w:pPr>
                    <w:pStyle w:val="Compact"/>
                    <w:jc w:val="center"/>
                    <w:jc w:val="center"/>
                  </w:pPr>
                  <w:r>
                    <w:t xml:space="preserve">CINDACTA I</w:t>
                  </w:r>
                </w:p>
              </w:tc>
              <w:tc>
                <w:tcPr/>
                <w:p>
                  <w:pPr>
                    <w:pStyle w:val="Compact"/>
                    <w:jc w:val="center"/>
                    <w:jc w:val="center"/>
                  </w:pPr>
                  <w:r>
                    <w:t xml:space="preserve">APP</w:t>
                  </w:r>
                </w:p>
              </w:tc>
              <w:tc>
                <w:tcPr/>
                <w:p>
                  <w:pPr>
                    <w:pStyle w:val="Compact"/>
                    <w:jc w:val="center"/>
                    <w:jc w:val="center"/>
                  </w:pPr>
                  <w:r>
                    <w:t xml:space="preserve">SBXU</w:t>
                  </w:r>
                </w:p>
              </w:tc>
              <w:tc>
                <w:tcPr/>
                <w:p>
                  <w:pPr>
                    <w:pStyle w:val="Compact"/>
                    <w:jc w:val="center"/>
                    <w:jc w:val="center"/>
                  </w:pPr>
                  <w:r>
                    <w:t xml:space="preserve">Uberaba</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w:t>
                  </w:r>
                </w:p>
              </w:tc>
            </w:tr>
            <w:tr>
              <w:tc>
                <w:tcPr/>
                <w:p>
                  <w:pPr>
                    <w:pStyle w:val="Compact"/>
                    <w:jc w:val="center"/>
                    <w:jc w:val="center"/>
                  </w:pPr>
                  <w:r>
                    <w:t xml:space="preserve">CINDACTA I</w:t>
                  </w:r>
                </w:p>
              </w:tc>
              <w:tc>
                <w:tcPr/>
                <w:p>
                  <w:pPr>
                    <w:pStyle w:val="Compact"/>
                    <w:jc w:val="center"/>
                    <w:jc w:val="center"/>
                  </w:pPr>
                  <w:r>
                    <w:t xml:space="preserve">APP</w:t>
                  </w:r>
                </w:p>
              </w:tc>
              <w:tc>
                <w:tcPr/>
                <w:p>
                  <w:pPr>
                    <w:pStyle w:val="Compact"/>
                    <w:jc w:val="center"/>
                    <w:jc w:val="center"/>
                  </w:pPr>
                  <w:r>
                    <w:t xml:space="preserve">SBXW</w:t>
                  </w:r>
                </w:p>
              </w:tc>
              <w:tc>
                <w:tcPr/>
                <w:p>
                  <w:pPr>
                    <w:pStyle w:val="Compact"/>
                    <w:jc w:val="center"/>
                    <w:jc w:val="center"/>
                  </w:pPr>
                  <w:r>
                    <w:t xml:space="preserve">Uberlândia</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w:t>
                  </w:r>
                </w:p>
              </w:tc>
            </w:tr>
            <w:tr>
              <w:tc>
                <w:tcPr/>
                <w:p>
                  <w:pPr>
                    <w:pStyle w:val="Compact"/>
                    <w:jc w:val="center"/>
                    <w:jc w:val="center"/>
                  </w:pPr>
                  <w:r>
                    <w:t xml:space="preserve">CINDACTA I</w:t>
                  </w:r>
                </w:p>
              </w:tc>
              <w:tc>
                <w:tcPr/>
                <w:p>
                  <w:pPr>
                    <w:pStyle w:val="Compact"/>
                    <w:jc w:val="center"/>
                    <w:jc w:val="center"/>
                  </w:pPr>
                  <w:r>
                    <w:t xml:space="preserve">APP</w:t>
                  </w:r>
                </w:p>
              </w:tc>
              <w:tc>
                <w:tcPr/>
                <w:p>
                  <w:pPr>
                    <w:pStyle w:val="Compact"/>
                    <w:jc w:val="center"/>
                    <w:jc w:val="center"/>
                  </w:pPr>
                  <w:r>
                    <w:t xml:space="preserve">SBWY</w:t>
                  </w:r>
                </w:p>
              </w:tc>
              <w:tc>
                <w:tcPr/>
                <w:p>
                  <w:pPr>
                    <w:pStyle w:val="Compact"/>
                    <w:jc w:val="center"/>
                    <w:jc w:val="center"/>
                  </w:pPr>
                  <w:r>
                    <w:t xml:space="preserve">Cuiabá</w:t>
                  </w:r>
                </w:p>
              </w:tc>
              <w:tc>
                <w:tcPr/>
                <w:p>
                  <w:pPr>
                    <w:pStyle w:val="Compact"/>
                    <w:jc w:val="center"/>
                    <w:jc w:val="center"/>
                  </w:pPr>
                  <w:r>
                    <w:t xml:space="preserve">DTCEA-CY</w:t>
                  </w:r>
                </w:p>
              </w:tc>
              <w:tc>
                <w:tcPr/>
                <w:p>
                  <w:pPr>
                    <w:pStyle w:val="Compact"/>
                    <w:jc w:val="center"/>
                    <w:jc w:val="center"/>
                  </w:pPr>
                  <w:r>
                    <w:t xml:space="preserve">DTCEA-CY</w:t>
                  </w:r>
                </w:p>
              </w:tc>
              <w:tc>
                <w:tcPr/>
                <w:p>
                  <w:pPr>
                    <w:pStyle w:val="Compact"/>
                    <w:jc w:val="center"/>
                    <w:jc w:val="center"/>
                  </w:pPr>
                  <w:r>
                    <w:t xml:space="preserve">-</w:t>
                  </w:r>
                </w:p>
              </w:tc>
            </w:tr>
            <w:tr>
              <w:tc>
                <w:tcPr/>
                <w:p>
                  <w:pPr>
                    <w:pStyle w:val="Compact"/>
                    <w:jc w:val="center"/>
                    <w:jc w:val="center"/>
                  </w:pPr>
                  <w:r>
                    <w:t xml:space="preserve">CINDACTA I</w:t>
                  </w:r>
                </w:p>
              </w:tc>
              <w:tc>
                <w:tcPr/>
                <w:p>
                  <w:pPr>
                    <w:pStyle w:val="Compact"/>
                    <w:jc w:val="center"/>
                    <w:jc w:val="center"/>
                  </w:pPr>
                  <w:r>
                    <w:t xml:space="preserve">APP</w:t>
                  </w:r>
                </w:p>
              </w:tc>
              <w:tc>
                <w:tcPr/>
                <w:p>
                  <w:pPr>
                    <w:pStyle w:val="Compact"/>
                    <w:jc w:val="center"/>
                    <w:jc w:val="center"/>
                  </w:pPr>
                  <w:r>
                    <w:t xml:space="preserve">SBWU</w:t>
                  </w:r>
                </w:p>
              </w:tc>
              <w:tc>
                <w:tcPr/>
                <w:p>
                  <w:pPr>
                    <w:pStyle w:val="Compact"/>
                    <w:jc w:val="center"/>
                    <w:jc w:val="center"/>
                  </w:pPr>
                  <w:r>
                    <w:t xml:space="preserve">Bauru</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w:t>
                  </w:r>
                </w:p>
              </w:tc>
            </w:tr>
            <w:tr>
              <w:tc>
                <w:tcPr/>
                <w:p>
                  <w:pPr>
                    <w:pStyle w:val="Compact"/>
                    <w:jc w:val="center"/>
                    <w:jc w:val="center"/>
                  </w:pPr>
                  <w:r>
                    <w:t xml:space="preserve">CINDACTA I</w:t>
                  </w:r>
                </w:p>
              </w:tc>
              <w:tc>
                <w:tcPr/>
                <w:p>
                  <w:pPr>
                    <w:pStyle w:val="Compact"/>
                    <w:jc w:val="center"/>
                    <w:jc w:val="center"/>
                  </w:pPr>
                  <w:r>
                    <w:t xml:space="preserve">TWR</w:t>
                  </w:r>
                </w:p>
              </w:tc>
              <w:tc>
                <w:tcPr/>
                <w:p>
                  <w:pPr>
                    <w:pStyle w:val="Compact"/>
                    <w:jc w:val="center"/>
                    <w:jc w:val="center"/>
                  </w:pPr>
                  <w:r>
                    <w:t xml:space="preserve">SBCY</w:t>
                  </w:r>
                </w:p>
              </w:tc>
              <w:tc>
                <w:tcPr/>
                <w:p>
                  <w:pPr>
                    <w:pStyle w:val="Compact"/>
                    <w:jc w:val="center"/>
                    <w:jc w:val="center"/>
                  </w:pPr>
                  <w:r>
                    <w:t xml:space="preserve">Cuiabá</w:t>
                  </w:r>
                </w:p>
              </w:tc>
              <w:tc>
                <w:tcPr/>
                <w:p>
                  <w:pPr>
                    <w:pStyle w:val="Compact"/>
                    <w:jc w:val="center"/>
                    <w:jc w:val="center"/>
                  </w:pPr>
                  <w:r>
                    <w:t xml:space="preserve">DTCEA-CY</w:t>
                  </w:r>
                </w:p>
              </w:tc>
              <w:tc>
                <w:tcPr/>
                <w:p>
                  <w:pPr>
                    <w:pStyle w:val="Compact"/>
                    <w:jc w:val="center"/>
                    <w:jc w:val="center"/>
                  </w:pPr>
                  <w:r>
                    <w:t xml:space="preserve">DTCEA-CY</w:t>
                  </w:r>
                </w:p>
              </w:tc>
              <w:tc>
                <w:tcPr/>
                <w:p>
                  <w:pPr>
                    <w:pStyle w:val="Compact"/>
                    <w:jc w:val="center"/>
                    <w:jc w:val="center"/>
                  </w:pPr>
                  <w:r>
                    <w:t xml:space="preserve">COA - Centro Oeste Aeroportos</w:t>
                  </w:r>
                </w:p>
              </w:tc>
            </w:tr>
            <w:tr>
              <w:tc>
                <w:tcPr/>
                <w:p>
                  <w:pPr>
                    <w:pStyle w:val="Compact"/>
                    <w:jc w:val="center"/>
                    <w:jc w:val="center"/>
                  </w:pPr>
                  <w:r>
                    <w:t xml:space="preserve">CINDACTA I</w:t>
                  </w:r>
                </w:p>
              </w:tc>
              <w:tc>
                <w:tcPr/>
                <w:p>
                  <w:pPr>
                    <w:pStyle w:val="Compact"/>
                    <w:jc w:val="center"/>
                    <w:jc w:val="center"/>
                  </w:pPr>
                  <w:r>
                    <w:t xml:space="preserve">TWR</w:t>
                  </w:r>
                </w:p>
              </w:tc>
              <w:tc>
                <w:tcPr/>
                <w:p>
                  <w:pPr>
                    <w:pStyle w:val="Compact"/>
                    <w:jc w:val="center"/>
                    <w:jc w:val="center"/>
                  </w:pPr>
                  <w:r>
                    <w:t xml:space="preserve">SBAN</w:t>
                  </w:r>
                </w:p>
              </w:tc>
              <w:tc>
                <w:tcPr/>
                <w:p>
                  <w:pPr>
                    <w:pStyle w:val="Compact"/>
                    <w:jc w:val="center"/>
                    <w:jc w:val="center"/>
                  </w:pPr>
                  <w:r>
                    <w:t xml:space="preserve">Anápolis</w:t>
                  </w:r>
                </w:p>
              </w:tc>
              <w:tc>
                <w:tcPr/>
                <w:p>
                  <w:pPr>
                    <w:pStyle w:val="Compact"/>
                    <w:jc w:val="center"/>
                    <w:jc w:val="center"/>
                  </w:pPr>
                  <w:r>
                    <w:t xml:space="preserve">DTCEA-AN</w:t>
                  </w:r>
                </w:p>
              </w:tc>
              <w:tc>
                <w:tcPr/>
                <w:p>
                  <w:pPr>
                    <w:pStyle w:val="Compact"/>
                    <w:jc w:val="center"/>
                    <w:jc w:val="center"/>
                  </w:pPr>
                  <w:r>
                    <w:t xml:space="preserve">DTCEA-AN</w:t>
                  </w:r>
                </w:p>
              </w:tc>
              <w:tc>
                <w:tcPr/>
                <w:p>
                  <w:pPr>
                    <w:pStyle w:val="Compact"/>
                    <w:jc w:val="center"/>
                    <w:jc w:val="center"/>
                  </w:pPr>
                  <w:r>
                    <w:t xml:space="preserve">FAB</w:t>
                  </w:r>
                </w:p>
              </w:tc>
            </w:tr>
            <w:tr>
              <w:tc>
                <w:tcPr/>
                <w:p>
                  <w:pPr>
                    <w:pStyle w:val="Compact"/>
                    <w:jc w:val="center"/>
                    <w:jc w:val="center"/>
                  </w:pPr>
                  <w:r>
                    <w:t xml:space="preserve">CINDACTA I</w:t>
                  </w:r>
                </w:p>
              </w:tc>
              <w:tc>
                <w:tcPr/>
                <w:p>
                  <w:pPr>
                    <w:pStyle w:val="Compact"/>
                    <w:jc w:val="center"/>
                    <w:jc w:val="center"/>
                  </w:pPr>
                  <w:r>
                    <w:t xml:space="preserve">TWR</w:t>
                  </w:r>
                </w:p>
              </w:tc>
              <w:tc>
                <w:tcPr/>
                <w:p>
                  <w:pPr>
                    <w:pStyle w:val="Compact"/>
                    <w:jc w:val="center"/>
                    <w:jc w:val="center"/>
                  </w:pPr>
                  <w:r>
                    <w:t xml:space="preserve">SBBH</w:t>
                  </w:r>
                </w:p>
              </w:tc>
              <w:tc>
                <w:tcPr/>
                <w:p>
                  <w:pPr>
                    <w:pStyle w:val="Compact"/>
                    <w:jc w:val="center"/>
                    <w:jc w:val="center"/>
                  </w:pPr>
                  <w:r>
                    <w:t xml:space="preserve">Belo Horizonte</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CCR AEROPORTOS</w:t>
                  </w:r>
                </w:p>
              </w:tc>
            </w:tr>
            <w:tr>
              <w:tc>
                <w:tcPr/>
                <w:p>
                  <w:pPr>
                    <w:pStyle w:val="Compact"/>
                    <w:jc w:val="center"/>
                    <w:jc w:val="center"/>
                  </w:pPr>
                  <w:r>
                    <w:t xml:space="preserve">CINDACTA I</w:t>
                  </w:r>
                </w:p>
              </w:tc>
              <w:tc>
                <w:tcPr/>
                <w:p>
                  <w:pPr>
                    <w:pStyle w:val="Compact"/>
                    <w:jc w:val="center"/>
                    <w:jc w:val="center"/>
                  </w:pPr>
                  <w:r>
                    <w:t xml:space="preserve">TWR</w:t>
                  </w:r>
                </w:p>
              </w:tc>
              <w:tc>
                <w:tcPr/>
                <w:p>
                  <w:pPr>
                    <w:pStyle w:val="Compact"/>
                    <w:jc w:val="center"/>
                    <w:jc w:val="center"/>
                  </w:pPr>
                  <w:r>
                    <w:t xml:space="preserve">SBBR</w:t>
                  </w:r>
                </w:p>
              </w:tc>
              <w:tc>
                <w:tcPr/>
                <w:p>
                  <w:pPr>
                    <w:pStyle w:val="Compact"/>
                    <w:jc w:val="center"/>
                    <w:jc w:val="center"/>
                  </w:pPr>
                  <w:r>
                    <w:t xml:space="preserve">Brasília</w:t>
                  </w:r>
                </w:p>
              </w:tc>
              <w:tc>
                <w:tcPr/>
                <w:p>
                  <w:pPr>
                    <w:pStyle w:val="Compact"/>
                    <w:jc w:val="center"/>
                    <w:jc w:val="center"/>
                  </w:pPr>
                  <w:r>
                    <w:t xml:space="preserve">DTCEA-BR</w:t>
                  </w:r>
                </w:p>
              </w:tc>
              <w:tc>
                <w:tcPr/>
                <w:p>
                  <w:pPr>
                    <w:pStyle w:val="Compact"/>
                    <w:jc w:val="center"/>
                    <w:jc w:val="center"/>
                  </w:pPr>
                  <w:r>
                    <w:t xml:space="preserve">DTCEA-BR</w:t>
                  </w:r>
                </w:p>
              </w:tc>
              <w:tc>
                <w:tcPr/>
                <w:p>
                  <w:pPr>
                    <w:pStyle w:val="Compact"/>
                    <w:jc w:val="center"/>
                    <w:jc w:val="center"/>
                  </w:pPr>
                  <w:r>
                    <w:t xml:space="preserve">INFRAMERICA</w:t>
                  </w:r>
                </w:p>
              </w:tc>
            </w:tr>
            <w:tr>
              <w:tc>
                <w:tcPr/>
                <w:p>
                  <w:pPr>
                    <w:pStyle w:val="Compact"/>
                    <w:jc w:val="center"/>
                    <w:jc w:val="center"/>
                  </w:pPr>
                  <w:r>
                    <w:t xml:space="preserve">CINDACTA I</w:t>
                  </w:r>
                </w:p>
              </w:tc>
              <w:tc>
                <w:tcPr/>
                <w:p>
                  <w:pPr>
                    <w:pStyle w:val="Compact"/>
                    <w:jc w:val="center"/>
                    <w:jc w:val="center"/>
                  </w:pPr>
                  <w:r>
                    <w:t xml:space="preserve">TWR</w:t>
                  </w:r>
                </w:p>
              </w:tc>
              <w:tc>
                <w:tcPr/>
                <w:p>
                  <w:pPr>
                    <w:pStyle w:val="Compact"/>
                    <w:jc w:val="center"/>
                    <w:jc w:val="center"/>
                  </w:pPr>
                  <w:r>
                    <w:t xml:space="preserve">SBCF</w:t>
                  </w:r>
                </w:p>
              </w:tc>
              <w:tc>
                <w:tcPr/>
                <w:p>
                  <w:pPr>
                    <w:pStyle w:val="Compact"/>
                    <w:jc w:val="center"/>
                    <w:jc w:val="center"/>
                  </w:pPr>
                  <w:r>
                    <w:t xml:space="preserve">Confins</w:t>
                  </w:r>
                </w:p>
              </w:tc>
              <w:tc>
                <w:tcPr/>
                <w:p>
                  <w:pPr>
                    <w:pStyle w:val="Compact"/>
                    <w:jc w:val="center"/>
                    <w:jc w:val="center"/>
                  </w:pPr>
                  <w:r>
                    <w:t xml:space="preserve">DTCEA-CF</w:t>
                  </w:r>
                </w:p>
              </w:tc>
              <w:tc>
                <w:tcPr/>
                <w:p>
                  <w:pPr>
                    <w:pStyle w:val="Compact"/>
                    <w:jc w:val="center"/>
                    <w:jc w:val="center"/>
                  </w:pPr>
                  <w:r>
                    <w:t xml:space="preserve">DTCEA-CF</w:t>
                  </w:r>
                </w:p>
              </w:tc>
              <w:tc>
                <w:tcPr/>
                <w:p>
                  <w:pPr>
                    <w:pStyle w:val="Compact"/>
                    <w:jc w:val="center"/>
                    <w:jc w:val="center"/>
                  </w:pPr>
                  <w:r>
                    <w:t xml:space="preserve"> BH AIRPORT</w:t>
                  </w:r>
                </w:p>
              </w:tc>
            </w:tr>
            <w:tr>
              <w:tc>
                <w:tcPr/>
                <w:p>
                  <w:pPr>
                    <w:pStyle w:val="Compact"/>
                    <w:jc w:val="center"/>
                    <w:jc w:val="center"/>
                  </w:pPr>
                  <w:r>
                    <w:t xml:space="preserve">CINDACTA I</w:t>
                  </w:r>
                </w:p>
              </w:tc>
              <w:tc>
                <w:tcPr/>
                <w:p>
                  <w:pPr>
                    <w:pStyle w:val="Compact"/>
                    <w:jc w:val="center"/>
                    <w:jc w:val="center"/>
                  </w:pPr>
                  <w:r>
                    <w:t xml:space="preserve">TWR</w:t>
                  </w:r>
                </w:p>
              </w:tc>
              <w:tc>
                <w:tcPr/>
                <w:p>
                  <w:pPr>
                    <w:pStyle w:val="Compact"/>
                    <w:jc w:val="center"/>
                    <w:jc w:val="center"/>
                  </w:pPr>
                  <w:r>
                    <w:t xml:space="preserve">SBGO</w:t>
                  </w:r>
                </w:p>
              </w:tc>
              <w:tc>
                <w:tcPr/>
                <w:p>
                  <w:pPr>
                    <w:pStyle w:val="Compact"/>
                    <w:jc w:val="center"/>
                    <w:jc w:val="center"/>
                  </w:pPr>
                  <w:r>
                    <w:t xml:space="preserve">Goiânia</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CCR AEROPORTOS</w:t>
                  </w:r>
                </w:p>
              </w:tc>
            </w:tr>
            <w:tr>
              <w:tc>
                <w:tcPr/>
                <w:p>
                  <w:pPr>
                    <w:pStyle w:val="Compact"/>
                    <w:jc w:val="center"/>
                    <w:jc w:val="center"/>
                  </w:pPr>
                  <w:r>
                    <w:t xml:space="preserve">CINDACTA I</w:t>
                  </w:r>
                </w:p>
              </w:tc>
              <w:tc>
                <w:tcPr/>
                <w:p>
                  <w:pPr>
                    <w:pStyle w:val="Compact"/>
                    <w:jc w:val="center"/>
                    <w:jc w:val="center"/>
                  </w:pPr>
                  <w:r>
                    <w:t xml:space="preserve">TWR</w:t>
                  </w:r>
                </w:p>
              </w:tc>
              <w:tc>
                <w:tcPr/>
                <w:p>
                  <w:pPr>
                    <w:pStyle w:val="Compact"/>
                    <w:jc w:val="center"/>
                    <w:jc w:val="center"/>
                  </w:pPr>
                  <w:r>
                    <w:t xml:space="preserve">SBPJ</w:t>
                  </w:r>
                </w:p>
              </w:tc>
              <w:tc>
                <w:tcPr/>
                <w:p>
                  <w:pPr>
                    <w:pStyle w:val="Compact"/>
                    <w:jc w:val="center"/>
                    <w:jc w:val="center"/>
                  </w:pPr>
                  <w:r>
                    <w:t xml:space="preserve">Palmas</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CCR AEROPORTOS</w:t>
                  </w:r>
                </w:p>
              </w:tc>
            </w:tr>
            <w:tr>
              <w:tc>
                <w:tcPr/>
                <w:p>
                  <w:pPr>
                    <w:pStyle w:val="Compact"/>
                    <w:jc w:val="center"/>
                    <w:jc w:val="center"/>
                  </w:pPr>
                  <w:r>
                    <w:t xml:space="preserve">CINDACTA I</w:t>
                  </w:r>
                </w:p>
              </w:tc>
              <w:tc>
                <w:tcPr/>
                <w:p>
                  <w:pPr>
                    <w:pStyle w:val="Compact"/>
                    <w:jc w:val="center"/>
                    <w:jc w:val="center"/>
                  </w:pPr>
                  <w:r>
                    <w:t xml:space="preserve">TWR</w:t>
                  </w:r>
                </w:p>
              </w:tc>
              <w:tc>
                <w:tcPr/>
                <w:p>
                  <w:pPr>
                    <w:pStyle w:val="Compact"/>
                    <w:jc w:val="center"/>
                    <w:jc w:val="center"/>
                  </w:pPr>
                  <w:r>
                    <w:t xml:space="preserve">SBRP</w:t>
                  </w:r>
                </w:p>
              </w:tc>
              <w:tc>
                <w:tcPr/>
                <w:p>
                  <w:pPr>
                    <w:pStyle w:val="Compact"/>
                    <w:jc w:val="center"/>
                    <w:jc w:val="center"/>
                  </w:pPr>
                  <w:r>
                    <w:t xml:space="preserve">Ribeirão Preto</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REDE VOA</w:t>
                  </w:r>
                </w:p>
              </w:tc>
            </w:tr>
            <w:tr>
              <w:tc>
                <w:tcPr/>
                <w:p>
                  <w:pPr>
                    <w:pStyle w:val="Compact"/>
                    <w:jc w:val="center"/>
                    <w:jc w:val="center"/>
                  </w:pPr>
                  <w:r>
                    <w:t xml:space="preserve">CINDACTA I</w:t>
                  </w:r>
                </w:p>
              </w:tc>
              <w:tc>
                <w:tcPr/>
                <w:p>
                  <w:pPr>
                    <w:pStyle w:val="Compact"/>
                    <w:jc w:val="center"/>
                    <w:jc w:val="center"/>
                  </w:pPr>
                  <w:r>
                    <w:t xml:space="preserve">TWR</w:t>
                  </w:r>
                </w:p>
              </w:tc>
              <w:tc>
                <w:tcPr/>
                <w:p>
                  <w:pPr>
                    <w:pStyle w:val="Compact"/>
                    <w:jc w:val="center"/>
                    <w:jc w:val="center"/>
                  </w:pPr>
                  <w:r>
                    <w:t xml:space="preserve">SBUL</w:t>
                  </w:r>
                </w:p>
              </w:tc>
              <w:tc>
                <w:tcPr/>
                <w:p>
                  <w:pPr>
                    <w:pStyle w:val="Compact"/>
                    <w:jc w:val="center"/>
                    <w:jc w:val="center"/>
                  </w:pPr>
                  <w:r>
                    <w:t xml:space="preserve">Uberlândia</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AENA</w:t>
                  </w:r>
                </w:p>
              </w:tc>
            </w:tr>
            <w:tr>
              <w:tc>
                <w:tcPr/>
                <w:p>
                  <w:pPr>
                    <w:pStyle w:val="Compact"/>
                    <w:jc w:val="center"/>
                    <w:jc w:val="center"/>
                  </w:pPr>
                  <w:r>
                    <w:t xml:space="preserve">CINDACTA I</w:t>
                  </w:r>
                </w:p>
              </w:tc>
              <w:tc>
                <w:tcPr/>
                <w:p>
                  <w:pPr>
                    <w:pStyle w:val="Compact"/>
                    <w:jc w:val="center"/>
                    <w:jc w:val="center"/>
                  </w:pPr>
                  <w:r>
                    <w:t xml:space="preserve">TWR</w:t>
                  </w:r>
                </w:p>
              </w:tc>
              <w:tc>
                <w:tcPr/>
                <w:p>
                  <w:pPr>
                    <w:pStyle w:val="Compact"/>
                    <w:jc w:val="center"/>
                    <w:jc w:val="center"/>
                  </w:pPr>
                  <w:r>
                    <w:t xml:space="preserve">SBYS</w:t>
                  </w:r>
                </w:p>
              </w:tc>
              <w:tc>
                <w:tcPr/>
                <w:p>
                  <w:pPr>
                    <w:pStyle w:val="Compact"/>
                    <w:jc w:val="center"/>
                    <w:jc w:val="center"/>
                  </w:pPr>
                  <w:r>
                    <w:t xml:space="preserve">Pirassununga</w:t>
                  </w:r>
                </w:p>
              </w:tc>
              <w:tc>
                <w:tcPr/>
                <w:p>
                  <w:pPr>
                    <w:pStyle w:val="Compact"/>
                    <w:jc w:val="center"/>
                    <w:jc w:val="center"/>
                  </w:pPr>
                  <w:r>
                    <w:t xml:space="preserve">DTCEA-YS</w:t>
                  </w:r>
                </w:p>
              </w:tc>
              <w:tc>
                <w:tcPr/>
                <w:p>
                  <w:pPr>
                    <w:pStyle w:val="Compact"/>
                    <w:jc w:val="center"/>
                    <w:jc w:val="center"/>
                  </w:pPr>
                  <w:r>
                    <w:t xml:space="preserve">DTCEA-YS</w:t>
                  </w:r>
                </w:p>
              </w:tc>
              <w:tc>
                <w:tcPr/>
                <w:p>
                  <w:pPr>
                    <w:pStyle w:val="Compact"/>
                    <w:jc w:val="center"/>
                    <w:jc w:val="center"/>
                  </w:pPr>
                  <w:r>
                    <w:t xml:space="preserve">FAB</w:t>
                  </w:r>
                </w:p>
              </w:tc>
            </w:tr>
            <w:tr>
              <w:tc>
                <w:tcPr/>
                <w:p>
                  <w:pPr>
                    <w:pStyle w:val="Compact"/>
                    <w:jc w:val="center"/>
                    <w:jc w:val="center"/>
                  </w:pPr>
                  <w:r>
                    <w:t xml:space="preserve">CINDACTA I</w:t>
                  </w:r>
                </w:p>
              </w:tc>
              <w:tc>
                <w:tcPr/>
                <w:p>
                  <w:pPr>
                    <w:pStyle w:val="Compact"/>
                    <w:jc w:val="center"/>
                    <w:jc w:val="center"/>
                  </w:pPr>
                  <w:r>
                    <w:t xml:space="preserve">AFIS</w:t>
                  </w:r>
                </w:p>
              </w:tc>
              <w:tc>
                <w:tcPr/>
                <w:p>
                  <w:pPr>
                    <w:pStyle w:val="Compact"/>
                    <w:jc w:val="center"/>
                    <w:jc w:val="center"/>
                  </w:pPr>
                  <w:r>
                    <w:t xml:space="preserve">SBAE</w:t>
                  </w:r>
                </w:p>
              </w:tc>
              <w:tc>
                <w:tcPr/>
                <w:p>
                  <w:pPr>
                    <w:pStyle w:val="Compact"/>
                    <w:jc w:val="center"/>
                    <w:jc w:val="center"/>
                  </w:pPr>
                  <w:r>
                    <w:t xml:space="preserve">Bauru-Arealva</w:t>
                  </w:r>
                </w:p>
              </w:tc>
              <w:tc>
                <w:tcPr/>
                <w:p>
                  <w:pPr>
                    <w:pStyle w:val="Compact"/>
                    <w:jc w:val="center"/>
                    <w:jc w:val="center"/>
                  </w:pPr>
                  <w:r>
                    <w:t xml:space="preserve">DAESP</w:t>
                  </w:r>
                </w:p>
              </w:tc>
              <w:tc>
                <w:tcPr/>
                <w:p>
                  <w:pPr>
                    <w:pStyle w:val="Compact"/>
                    <w:jc w:val="center"/>
                    <w:jc w:val="center"/>
                  </w:pPr>
                  <w:r>
                    <w:t xml:space="preserve">REDE VOA</w:t>
                  </w:r>
                </w:p>
              </w:tc>
              <w:tc>
                <w:tcPr/>
                <w:p>
                  <w:pPr>
                    <w:pStyle w:val="Compact"/>
                    <w:jc w:val="center"/>
                    <w:jc w:val="center"/>
                  </w:pPr>
                  <w:r>
                    <w:t xml:space="preserve"> REDE VOA</w:t>
                  </w:r>
                </w:p>
              </w:tc>
            </w:tr>
            <w:tr>
              <w:tc>
                <w:tcPr/>
                <w:p>
                  <w:pPr>
                    <w:pStyle w:val="Compact"/>
                    <w:jc w:val="center"/>
                    <w:jc w:val="center"/>
                  </w:pPr>
                  <w:r>
                    <w:t xml:space="preserve">CINDACTA I</w:t>
                  </w:r>
                </w:p>
              </w:tc>
              <w:tc>
                <w:tcPr/>
                <w:p>
                  <w:pPr>
                    <w:pStyle w:val="Compact"/>
                    <w:jc w:val="center"/>
                    <w:jc w:val="center"/>
                  </w:pPr>
                  <w:r>
                    <w:t xml:space="preserve">AFIS</w:t>
                  </w:r>
                </w:p>
              </w:tc>
              <w:tc>
                <w:tcPr/>
                <w:p>
                  <w:pPr>
                    <w:pStyle w:val="Compact"/>
                    <w:jc w:val="center"/>
                    <w:jc w:val="center"/>
                  </w:pPr>
                  <w:r>
                    <w:t xml:space="preserve">SBAU</w:t>
                  </w:r>
                </w:p>
              </w:tc>
              <w:tc>
                <w:tcPr/>
                <w:p>
                  <w:pPr>
                    <w:pStyle w:val="Compact"/>
                    <w:jc w:val="center"/>
                    <w:jc w:val="center"/>
                  </w:pPr>
                  <w:r>
                    <w:t xml:space="preserve">Araçatuba</w:t>
                  </w:r>
                </w:p>
              </w:tc>
              <w:tc>
                <w:tcPr/>
                <w:p>
                  <w:pPr>
                    <w:pStyle w:val="Compact"/>
                    <w:jc w:val="center"/>
                    <w:jc w:val="center"/>
                  </w:pPr>
                  <w:r>
                    <w:t xml:space="preserve">DAESP</w:t>
                  </w:r>
                </w:p>
              </w:tc>
              <w:tc>
                <w:tcPr/>
                <w:p>
                  <w:pPr>
                    <w:pStyle w:val="Compact"/>
                    <w:jc w:val="center"/>
                    <w:jc w:val="center"/>
                  </w:pPr>
                  <w:r>
                    <w:t xml:space="preserve">Aeroportos Paulistas</w:t>
                  </w:r>
                </w:p>
              </w:tc>
              <w:tc>
                <w:tcPr/>
                <w:p>
                  <w:pPr>
                    <w:pStyle w:val="Compact"/>
                    <w:jc w:val="center"/>
                    <w:jc w:val="center"/>
                  </w:pPr>
                  <w:r>
                    <w:t xml:space="preserve"> ASP - AEROPORTOS PAULISTAS</w:t>
                  </w:r>
                </w:p>
              </w:tc>
            </w:tr>
            <w:tr>
              <w:tc>
                <w:tcPr/>
                <w:p>
                  <w:pPr>
                    <w:pStyle w:val="Compact"/>
                    <w:jc w:val="center"/>
                    <w:jc w:val="center"/>
                  </w:pPr>
                  <w:r>
                    <w:t xml:space="preserve">CINDACTA I</w:t>
                  </w:r>
                </w:p>
              </w:tc>
              <w:tc>
                <w:tcPr/>
                <w:p>
                  <w:pPr>
                    <w:pStyle w:val="Compact"/>
                    <w:jc w:val="center"/>
                    <w:jc w:val="center"/>
                  </w:pPr>
                  <w:r>
                    <w:t xml:space="preserve">AFIS</w:t>
                  </w:r>
                </w:p>
              </w:tc>
              <w:tc>
                <w:tcPr/>
                <w:p>
                  <w:pPr>
                    <w:pStyle w:val="Compact"/>
                    <w:jc w:val="center"/>
                    <w:jc w:val="center"/>
                  </w:pPr>
                  <w:r>
                    <w:t xml:space="preserve">SBAX</w:t>
                  </w:r>
                </w:p>
              </w:tc>
              <w:tc>
                <w:tcPr/>
                <w:p>
                  <w:pPr>
                    <w:pStyle w:val="Compact"/>
                    <w:jc w:val="center"/>
                    <w:jc w:val="center"/>
                  </w:pPr>
                  <w:r>
                    <w:t xml:space="preserve">Araxá</w:t>
                  </w:r>
                </w:p>
              </w:tc>
              <w:tc>
                <w:tcPr/>
                <w:p>
                  <w:pPr>
                    <w:pStyle w:val="Compact"/>
                    <w:jc w:val="center"/>
                    <w:jc w:val="center"/>
                  </w:pPr>
                  <w:r>
                    <w:t xml:space="preserve">PREFEITURA</w:t>
                  </w:r>
                </w:p>
              </w:tc>
              <w:tc>
                <w:tcPr/>
                <w:p>
                  <w:pPr>
                    <w:pStyle w:val="Compact"/>
                    <w:jc w:val="center"/>
                    <w:jc w:val="center"/>
                  </w:pPr>
                  <w:r>
                    <w:t xml:space="preserve">PREFEITURA</w:t>
                  </w:r>
                </w:p>
              </w:tc>
              <w:tc>
                <w:tcPr/>
                <w:p>
                  <w:pPr>
                    <w:pStyle w:val="Compact"/>
                    <w:jc w:val="center"/>
                    <w:jc w:val="center"/>
                  </w:pPr>
                  <w:r>
                    <w:t xml:space="preserve">PREFEITURA DE ARAXÁ</w:t>
                  </w:r>
                </w:p>
              </w:tc>
            </w:tr>
            <w:tr>
              <w:tc>
                <w:tcPr/>
                <w:p>
                  <w:pPr>
                    <w:pStyle w:val="Compact"/>
                    <w:jc w:val="center"/>
                    <w:jc w:val="center"/>
                  </w:pPr>
                  <w:r>
                    <w:t xml:space="preserve">CINDACTA I</w:t>
                  </w:r>
                </w:p>
              </w:tc>
              <w:tc>
                <w:tcPr/>
                <w:p>
                  <w:pPr>
                    <w:pStyle w:val="Compact"/>
                    <w:jc w:val="center"/>
                    <w:jc w:val="center"/>
                  </w:pPr>
                  <w:r>
                    <w:t xml:space="preserve">AFIS</w:t>
                  </w:r>
                </w:p>
              </w:tc>
              <w:tc>
                <w:tcPr/>
                <w:p>
                  <w:pPr>
                    <w:pStyle w:val="Compact"/>
                    <w:jc w:val="center"/>
                    <w:jc w:val="center"/>
                  </w:pPr>
                  <w:r>
                    <w:t xml:space="preserve">SBBU</w:t>
                  </w:r>
                </w:p>
              </w:tc>
              <w:tc>
                <w:tcPr/>
                <w:p>
                  <w:pPr>
                    <w:pStyle w:val="Compact"/>
                    <w:jc w:val="center"/>
                    <w:jc w:val="center"/>
                  </w:pPr>
                  <w:r>
                    <w:t xml:space="preserve">Bauru</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REDE VOA</w:t>
                  </w:r>
                </w:p>
              </w:tc>
            </w:tr>
            <w:tr>
              <w:tc>
                <w:tcPr/>
                <w:p>
                  <w:pPr>
                    <w:pStyle w:val="Compact"/>
                    <w:jc w:val="center"/>
                    <w:jc w:val="center"/>
                  </w:pPr>
                  <w:r>
                    <w:t xml:space="preserve">CINDACTA I</w:t>
                  </w:r>
                </w:p>
              </w:tc>
              <w:tc>
                <w:tcPr/>
                <w:p>
                  <w:pPr>
                    <w:pStyle w:val="Compact"/>
                    <w:jc w:val="center"/>
                    <w:jc w:val="center"/>
                  </w:pPr>
                  <w:r>
                    <w:t xml:space="preserve">AFIS</w:t>
                  </w:r>
                </w:p>
              </w:tc>
              <w:tc>
                <w:tcPr/>
                <w:p>
                  <w:pPr>
                    <w:pStyle w:val="Compact"/>
                    <w:jc w:val="center"/>
                    <w:jc w:val="center"/>
                  </w:pPr>
                  <w:r>
                    <w:t xml:space="preserve">SBBW</w:t>
                  </w:r>
                </w:p>
              </w:tc>
              <w:tc>
                <w:tcPr/>
                <w:p>
                  <w:pPr>
                    <w:pStyle w:val="Compact"/>
                    <w:jc w:val="center"/>
                    <w:jc w:val="center"/>
                  </w:pPr>
                  <w:r>
                    <w:t xml:space="preserve">Barra do Garças</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PREFEITURA DE BARRA DO GRARÇAS</w:t>
                  </w:r>
                </w:p>
              </w:tc>
            </w:tr>
            <w:tr>
              <w:tc>
                <w:tcPr/>
                <w:p>
                  <w:pPr>
                    <w:pStyle w:val="Compact"/>
                    <w:jc w:val="center"/>
                    <w:jc w:val="center"/>
                  </w:pPr>
                  <w:r>
                    <w:t xml:space="preserve">CINDACTA I</w:t>
                  </w:r>
                </w:p>
              </w:tc>
              <w:tc>
                <w:tcPr/>
                <w:p>
                  <w:pPr>
                    <w:pStyle w:val="Compact"/>
                    <w:jc w:val="center"/>
                    <w:jc w:val="center"/>
                  </w:pPr>
                  <w:r>
                    <w:t xml:space="preserve">AFIS</w:t>
                  </w:r>
                </w:p>
              </w:tc>
              <w:tc>
                <w:tcPr/>
                <w:p>
                  <w:pPr>
                    <w:pStyle w:val="Compact"/>
                    <w:jc w:val="center"/>
                    <w:jc w:val="center"/>
                  </w:pPr>
                  <w:r>
                    <w:t xml:space="preserve">SBCN</w:t>
                  </w:r>
                </w:p>
              </w:tc>
              <w:tc>
                <w:tcPr/>
                <w:p>
                  <w:pPr>
                    <w:pStyle w:val="Compact"/>
                    <w:jc w:val="center"/>
                    <w:jc w:val="center"/>
                  </w:pPr>
                  <w:r>
                    <w:t xml:space="preserve">Caldas Novas</w:t>
                  </w:r>
                </w:p>
              </w:tc>
              <w:tc>
                <w:tcPr/>
                <w:p>
                  <w:pPr>
                    <w:pStyle w:val="Compact"/>
                    <w:jc w:val="center"/>
                    <w:jc w:val="center"/>
                  </w:pPr>
                  <w:r>
                    <w:t xml:space="preserve">SOCICAM </w:t>
                  </w:r>
                </w:p>
              </w:tc>
              <w:tc>
                <w:tcPr/>
                <w:p>
                  <w:pPr>
                    <w:pStyle w:val="Compact"/>
                    <w:jc w:val="center"/>
                    <w:jc w:val="center"/>
                  </w:pPr>
                  <w:r>
                    <w:t xml:space="preserve">Socicam</w:t>
                  </w:r>
                </w:p>
              </w:tc>
              <w:tc>
                <w:tcPr/>
                <w:p>
                  <w:pPr>
                    <w:pStyle w:val="Compact"/>
                    <w:jc w:val="center"/>
                    <w:jc w:val="center"/>
                  </w:pPr>
                  <w:r>
                    <w:t xml:space="preserve"> SOCICAM</w:t>
                  </w:r>
                </w:p>
              </w:tc>
            </w:tr>
            <w:tr>
              <w:tc>
                <w:tcPr/>
                <w:p>
                  <w:pPr>
                    <w:pStyle w:val="Compact"/>
                    <w:jc w:val="center"/>
                    <w:jc w:val="center"/>
                  </w:pPr>
                  <w:r>
                    <w:t xml:space="preserve">CINDACTA I</w:t>
                  </w:r>
                </w:p>
              </w:tc>
              <w:tc>
                <w:tcPr/>
                <w:p>
                  <w:pPr>
                    <w:pStyle w:val="Compact"/>
                    <w:jc w:val="center"/>
                    <w:jc w:val="center"/>
                  </w:pPr>
                  <w:r>
                    <w:t xml:space="preserve">AFIS</w:t>
                  </w:r>
                </w:p>
              </w:tc>
              <w:tc>
                <w:tcPr/>
                <w:p>
                  <w:pPr>
                    <w:pStyle w:val="Compact"/>
                    <w:jc w:val="center"/>
                    <w:jc w:val="center"/>
                  </w:pPr>
                  <w:r>
                    <w:t xml:space="preserve">SBGP</w:t>
                  </w:r>
                </w:p>
              </w:tc>
              <w:tc>
                <w:tcPr/>
                <w:p>
                  <w:pPr>
                    <w:pStyle w:val="Compact"/>
                    <w:jc w:val="center"/>
                    <w:jc w:val="center"/>
                  </w:pPr>
                  <w:r>
                    <w:t xml:space="preserve">Gavião Peixoto</w:t>
                  </w:r>
                </w:p>
              </w:tc>
              <w:tc>
                <w:tcPr/>
                <w:p>
                  <w:pPr>
                    <w:pStyle w:val="Compact"/>
                    <w:jc w:val="center"/>
                    <w:jc w:val="center"/>
                  </w:pPr>
                  <w:r>
                    <w:t xml:space="preserve">EMBRAER</w:t>
                  </w:r>
                </w:p>
              </w:tc>
              <w:tc>
                <w:tcPr/>
                <w:p>
                  <w:pPr>
                    <w:pStyle w:val="Compact"/>
                    <w:jc w:val="center"/>
                    <w:jc w:val="center"/>
                  </w:pPr>
                  <w:r>
                    <w:t xml:space="preserve">EMBRAER</w:t>
                  </w:r>
                </w:p>
              </w:tc>
              <w:tc>
                <w:tcPr/>
                <w:p>
                  <w:pPr>
                    <w:pStyle w:val="Compact"/>
                    <w:jc w:val="center"/>
                    <w:jc w:val="center"/>
                  </w:pPr>
                  <w:r>
                    <w:t xml:space="preserve">EMBRAER</w:t>
                  </w:r>
                </w:p>
              </w:tc>
            </w:tr>
            <w:tr>
              <w:tc>
                <w:tcPr/>
                <w:p>
                  <w:pPr>
                    <w:pStyle w:val="Compact"/>
                    <w:jc w:val="center"/>
                    <w:jc w:val="center"/>
                  </w:pPr>
                  <w:r>
                    <w:t xml:space="preserve">CINDACTA I</w:t>
                  </w:r>
                </w:p>
              </w:tc>
              <w:tc>
                <w:tcPr/>
                <w:p>
                  <w:pPr>
                    <w:pStyle w:val="Compact"/>
                    <w:jc w:val="center"/>
                    <w:jc w:val="center"/>
                  </w:pPr>
                  <w:r>
                    <w:t xml:space="preserve">AFIS</w:t>
                  </w:r>
                </w:p>
              </w:tc>
              <w:tc>
                <w:tcPr/>
                <w:p>
                  <w:pPr>
                    <w:pStyle w:val="Compact"/>
                    <w:jc w:val="center"/>
                    <w:jc w:val="center"/>
                  </w:pPr>
                  <w:r>
                    <w:t xml:space="preserve">SBLS</w:t>
                  </w:r>
                </w:p>
              </w:tc>
              <w:tc>
                <w:tcPr/>
                <w:p>
                  <w:pPr>
                    <w:pStyle w:val="Compact"/>
                    <w:jc w:val="center"/>
                    <w:jc w:val="center"/>
                  </w:pPr>
                  <w:r>
                    <w:t xml:space="preserve">Lagoa Santa</w:t>
                  </w:r>
                </w:p>
              </w:tc>
              <w:tc>
                <w:tcPr/>
                <w:p>
                  <w:pPr>
                    <w:pStyle w:val="Compact"/>
                    <w:jc w:val="center"/>
                    <w:jc w:val="center"/>
                  </w:pPr>
                  <w:r>
                    <w:t xml:space="preserve">DTCEA-LS</w:t>
                  </w:r>
                </w:p>
              </w:tc>
              <w:tc>
                <w:tcPr/>
                <w:p>
                  <w:pPr>
                    <w:pStyle w:val="Compact"/>
                    <w:jc w:val="center"/>
                    <w:jc w:val="center"/>
                  </w:pPr>
                  <w:r>
                    <w:t xml:space="preserve">DTCEA-LS</w:t>
                  </w:r>
                </w:p>
              </w:tc>
              <w:tc>
                <w:tcPr/>
                <w:p>
                  <w:pPr>
                    <w:pStyle w:val="Compact"/>
                    <w:jc w:val="center"/>
                    <w:jc w:val="center"/>
                  </w:pPr>
                  <w:r>
                    <w:t xml:space="preserve">FAB</w:t>
                  </w:r>
                </w:p>
              </w:tc>
            </w:tr>
            <w:tr>
              <w:tc>
                <w:tcPr/>
                <w:p>
                  <w:pPr>
                    <w:pStyle w:val="Compact"/>
                    <w:jc w:val="center"/>
                    <w:jc w:val="center"/>
                  </w:pPr>
                  <w:r>
                    <w:t xml:space="preserve">CINDACTA I</w:t>
                  </w:r>
                </w:p>
              </w:tc>
              <w:tc>
                <w:tcPr/>
                <w:p>
                  <w:pPr>
                    <w:pStyle w:val="Compact"/>
                    <w:jc w:val="center"/>
                    <w:jc w:val="center"/>
                  </w:pPr>
                  <w:r>
                    <w:t xml:space="preserve">AFIS</w:t>
                  </w:r>
                </w:p>
              </w:tc>
              <w:tc>
                <w:tcPr/>
                <w:p>
                  <w:pPr>
                    <w:pStyle w:val="Compact"/>
                    <w:jc w:val="center"/>
                    <w:jc w:val="center"/>
                  </w:pPr>
                  <w:r>
                    <w:t xml:space="preserve">SBMK</w:t>
                  </w:r>
                </w:p>
              </w:tc>
              <w:tc>
                <w:tcPr/>
                <w:p>
                  <w:pPr>
                    <w:pStyle w:val="Compact"/>
                    <w:jc w:val="center"/>
                    <w:jc w:val="center"/>
                  </w:pPr>
                  <w:r>
                    <w:t xml:space="preserve">Montes Claros</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AENA</w:t>
                  </w:r>
                </w:p>
              </w:tc>
            </w:tr>
            <w:tr>
              <w:tc>
                <w:tcPr/>
                <w:p>
                  <w:pPr>
                    <w:pStyle w:val="Compact"/>
                    <w:jc w:val="center"/>
                    <w:jc w:val="center"/>
                  </w:pPr>
                  <w:r>
                    <w:t xml:space="preserve">CINDACTA I</w:t>
                  </w:r>
                </w:p>
              </w:tc>
              <w:tc>
                <w:tcPr/>
                <w:p>
                  <w:pPr>
                    <w:pStyle w:val="Compact"/>
                    <w:jc w:val="center"/>
                    <w:jc w:val="center"/>
                  </w:pPr>
                  <w:r>
                    <w:t xml:space="preserve">AFIS</w:t>
                  </w:r>
                </w:p>
              </w:tc>
              <w:tc>
                <w:tcPr/>
                <w:p>
                  <w:pPr>
                    <w:pStyle w:val="Compact"/>
                    <w:jc w:val="center"/>
                    <w:jc w:val="center"/>
                  </w:pPr>
                  <w:r>
                    <w:t xml:space="preserve">SBML</w:t>
                  </w:r>
                </w:p>
              </w:tc>
              <w:tc>
                <w:tcPr/>
                <w:p>
                  <w:pPr>
                    <w:pStyle w:val="Compact"/>
                    <w:jc w:val="center"/>
                    <w:jc w:val="center"/>
                  </w:pPr>
                  <w:r>
                    <w:t xml:space="preserve">Marília</w:t>
                  </w:r>
                </w:p>
              </w:tc>
              <w:tc>
                <w:tcPr/>
                <w:p>
                  <w:pPr>
                    <w:pStyle w:val="Compact"/>
                    <w:jc w:val="center"/>
                    <w:jc w:val="center"/>
                  </w:pPr>
                  <w:r>
                    <w:t xml:space="preserve">VOA-SP</w:t>
                  </w:r>
                </w:p>
              </w:tc>
              <w:tc>
                <w:tcPr/>
                <w:p>
                  <w:pPr>
                    <w:pStyle w:val="Compact"/>
                    <w:jc w:val="center"/>
                    <w:jc w:val="center"/>
                  </w:pPr>
                  <w:r>
                    <w:t xml:space="preserve">VOA-SP</w:t>
                  </w:r>
                </w:p>
              </w:tc>
              <w:tc>
                <w:tcPr/>
                <w:p>
                  <w:pPr>
                    <w:pStyle w:val="Compact"/>
                    <w:jc w:val="center"/>
                    <w:jc w:val="center"/>
                  </w:pPr>
                  <w:r>
                    <w:t xml:space="preserve"> REDE VOA</w:t>
                  </w:r>
                </w:p>
              </w:tc>
            </w:tr>
            <w:tr>
              <w:tc>
                <w:tcPr/>
                <w:p>
                  <w:pPr>
                    <w:pStyle w:val="Compact"/>
                    <w:jc w:val="center"/>
                    <w:jc w:val="center"/>
                  </w:pPr>
                  <w:r>
                    <w:t xml:space="preserve">CINDACTA I</w:t>
                  </w:r>
                </w:p>
              </w:tc>
              <w:tc>
                <w:tcPr/>
                <w:p>
                  <w:pPr>
                    <w:pStyle w:val="Compact"/>
                    <w:jc w:val="center"/>
                    <w:jc w:val="center"/>
                  </w:pPr>
                  <w:r>
                    <w:t xml:space="preserve">AFIS</w:t>
                  </w:r>
                </w:p>
              </w:tc>
              <w:tc>
                <w:tcPr/>
                <w:p>
                  <w:pPr>
                    <w:pStyle w:val="Compact"/>
                    <w:jc w:val="center"/>
                    <w:jc w:val="center"/>
                  </w:pPr>
                  <w:r>
                    <w:t xml:space="preserve">SBNV</w:t>
                  </w:r>
                </w:p>
              </w:tc>
              <w:tc>
                <w:tcPr/>
                <w:p>
                  <w:pPr>
                    <w:pStyle w:val="Compact"/>
                    <w:jc w:val="center"/>
                    <w:jc w:val="center"/>
                  </w:pPr>
                  <w:r>
                    <w:t xml:space="preserve">Goiânia</w:t>
                  </w:r>
                </w:p>
              </w:tc>
              <w:tc>
                <w:tcPr/>
                <w:p>
                  <w:pPr>
                    <w:pStyle w:val="Compact"/>
                    <w:jc w:val="center"/>
                    <w:jc w:val="center"/>
                  </w:pPr>
                  <w:r>
                    <w:t xml:space="preserve">AGETOP</w:t>
                  </w:r>
                </w:p>
              </w:tc>
              <w:tc>
                <w:tcPr/>
                <w:p>
                  <w:pPr>
                    <w:pStyle w:val="Compact"/>
                    <w:jc w:val="center"/>
                    <w:jc w:val="center"/>
                  </w:pPr>
                  <w:r>
                    <w:t xml:space="preserve">AGETOP</w:t>
                  </w:r>
                </w:p>
              </w:tc>
              <w:tc>
                <w:tcPr/>
                <w:p>
                  <w:pPr>
                    <w:pStyle w:val="Compact"/>
                    <w:jc w:val="center"/>
                    <w:jc w:val="center"/>
                  </w:pPr>
                  <w:r>
                    <w:t xml:space="preserve">AGETOP</w:t>
                  </w:r>
                </w:p>
              </w:tc>
            </w:tr>
            <w:tr>
              <w:tc>
                <w:tcPr/>
                <w:p>
                  <w:pPr>
                    <w:pStyle w:val="Compact"/>
                    <w:jc w:val="center"/>
                    <w:jc w:val="center"/>
                  </w:pPr>
                  <w:r>
                    <w:t xml:space="preserve">CINDACTA I</w:t>
                  </w:r>
                </w:p>
              </w:tc>
              <w:tc>
                <w:tcPr/>
                <w:p>
                  <w:pPr>
                    <w:pStyle w:val="Compact"/>
                    <w:jc w:val="center"/>
                    <w:jc w:val="center"/>
                  </w:pPr>
                  <w:r>
                    <w:t xml:space="preserve">AFIS</w:t>
                  </w:r>
                </w:p>
              </w:tc>
              <w:tc>
                <w:tcPr/>
                <w:p>
                  <w:pPr>
                    <w:pStyle w:val="Compact"/>
                    <w:jc w:val="center"/>
                    <w:jc w:val="center"/>
                  </w:pPr>
                  <w:r>
                    <w:t xml:space="preserve">SBUR</w:t>
                  </w:r>
                </w:p>
              </w:tc>
              <w:tc>
                <w:tcPr/>
                <w:p>
                  <w:pPr>
                    <w:pStyle w:val="Compact"/>
                    <w:jc w:val="center"/>
                    <w:jc w:val="center"/>
                  </w:pPr>
                  <w:r>
                    <w:t xml:space="preserve">Uberaba</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AENA</w:t>
                  </w:r>
                </w:p>
              </w:tc>
            </w:tr>
            <w:tr>
              <w:tc>
                <w:tcPr/>
                <w:p>
                  <w:pPr>
                    <w:pStyle w:val="Compact"/>
                    <w:jc w:val="center"/>
                    <w:jc w:val="center"/>
                  </w:pPr>
                  <w:r>
                    <w:t xml:space="preserve">CINDACTA I</w:t>
                  </w:r>
                </w:p>
              </w:tc>
              <w:tc>
                <w:tcPr/>
                <w:p>
                  <w:pPr>
                    <w:pStyle w:val="Compact"/>
                    <w:jc w:val="center"/>
                    <w:jc w:val="center"/>
                  </w:pPr>
                  <w:r>
                    <w:t xml:space="preserve">AFIS</w:t>
                  </w:r>
                </w:p>
              </w:tc>
              <w:tc>
                <w:tcPr/>
                <w:p>
                  <w:pPr>
                    <w:pStyle w:val="Compact"/>
                    <w:jc w:val="center"/>
                    <w:jc w:val="center"/>
                  </w:pPr>
                  <w:r>
                    <w:t xml:space="preserve">SBSR</w:t>
                  </w:r>
                </w:p>
              </w:tc>
              <w:tc>
                <w:tcPr/>
                <w:p>
                  <w:pPr>
                    <w:pStyle w:val="Compact"/>
                    <w:jc w:val="center"/>
                    <w:jc w:val="center"/>
                  </w:pPr>
                  <w:r>
                    <w:t xml:space="preserve">São José do Rio Preto</w:t>
                  </w:r>
                </w:p>
              </w:tc>
              <w:tc>
                <w:tcPr/>
                <w:p>
                  <w:pPr>
                    <w:pStyle w:val="Compact"/>
                    <w:jc w:val="center"/>
                    <w:jc w:val="center"/>
                  </w:pPr>
                  <w:r>
                    <w:t xml:space="preserve">SLT</w:t>
                  </w:r>
                </w:p>
              </w:tc>
              <w:tc>
                <w:tcPr/>
                <w:p>
                  <w:pPr>
                    <w:pStyle w:val="Compact"/>
                    <w:jc w:val="center"/>
                    <w:jc w:val="center"/>
                  </w:pPr>
                  <w:r>
                    <w:t xml:space="preserve">Aeroportos Paulistas</w:t>
                  </w:r>
                </w:p>
              </w:tc>
              <w:tc>
                <w:tcPr/>
                <w:p>
                  <w:pPr>
                    <w:pStyle w:val="Compact"/>
                    <w:jc w:val="center"/>
                    <w:jc w:val="center"/>
                  </w:pPr>
                  <w:r>
                    <w:t xml:space="preserve"> ASP - AEROPORTOS PAULISTAS</w:t>
                  </w:r>
                </w:p>
              </w:tc>
            </w:tr>
            <w:tr>
              <w:tc>
                <w:tcPr/>
                <w:p>
                  <w:pPr>
                    <w:pStyle w:val="Compact"/>
                    <w:jc w:val="center"/>
                    <w:jc w:val="center"/>
                  </w:pPr>
                  <w:r>
                    <w:t xml:space="preserve">CINDACTA I</w:t>
                  </w:r>
                </w:p>
              </w:tc>
              <w:tc>
                <w:tcPr/>
                <w:p>
                  <w:pPr>
                    <w:pStyle w:val="Compact"/>
                    <w:jc w:val="center"/>
                    <w:jc w:val="center"/>
                  </w:pPr>
                  <w:r>
                    <w:t xml:space="preserve">AFIS</w:t>
                  </w:r>
                </w:p>
              </w:tc>
              <w:tc>
                <w:tcPr/>
                <w:p>
                  <w:pPr>
                    <w:pStyle w:val="Compact"/>
                    <w:jc w:val="center"/>
                    <w:jc w:val="center"/>
                  </w:pPr>
                  <w:r>
                    <w:t xml:space="preserve">SBVG</w:t>
                  </w:r>
                </w:p>
              </w:tc>
              <w:tc>
                <w:tcPr/>
                <w:p>
                  <w:pPr>
                    <w:pStyle w:val="Compact"/>
                    <w:jc w:val="center"/>
                    <w:jc w:val="center"/>
                  </w:pPr>
                  <w:r>
                    <w:t xml:space="preserve">Varginha</w:t>
                  </w:r>
                </w:p>
              </w:tc>
              <w:tc>
                <w:tcPr/>
                <w:p>
                  <w:pPr>
                    <w:pStyle w:val="Compact"/>
                    <w:jc w:val="center"/>
                    <w:jc w:val="center"/>
                  </w:pPr>
                  <w:r>
                    <w:t xml:space="preserve">FLYWAY Serviços Aeronáuticos</w:t>
                  </w:r>
                </w:p>
              </w:tc>
              <w:tc>
                <w:tcPr/>
                <w:p>
                  <w:pPr>
                    <w:pStyle w:val="Compact"/>
                    <w:jc w:val="center"/>
                    <w:jc w:val="center"/>
                  </w:pPr>
                  <w:r>
                    <w:t xml:space="preserve">FLYWAY Serviços Aeronáuticos</w:t>
                  </w:r>
                </w:p>
              </w:tc>
              <w:tc>
                <w:tcPr/>
                <w:p>
                  <w:pPr>
                    <w:pStyle w:val="Compact"/>
                    <w:jc w:val="center"/>
                    <w:jc w:val="center"/>
                  </w:pPr>
                  <w:r>
                    <w:t xml:space="preserve">FLYWAY Serviços Aeronáuticos</w:t>
                  </w:r>
                </w:p>
              </w:tc>
            </w:tr>
            <w:tr>
              <w:tc>
                <w:tcPr/>
                <w:p>
                  <w:pPr>
                    <w:pStyle w:val="Compact"/>
                    <w:jc w:val="center"/>
                    <w:jc w:val="center"/>
                  </w:pPr>
                  <w:r>
                    <w:t xml:space="preserve">CINDACTA I</w:t>
                  </w:r>
                </w:p>
              </w:tc>
              <w:tc>
                <w:tcPr/>
                <w:p>
                  <w:pPr>
                    <w:pStyle w:val="Compact"/>
                    <w:jc w:val="center"/>
                    <w:jc w:val="center"/>
                  </w:pPr>
                  <w:r>
                    <w:t xml:space="preserve">AFIS</w:t>
                  </w:r>
                </w:p>
              </w:tc>
              <w:tc>
                <w:tcPr/>
                <w:p>
                  <w:pPr>
                    <w:pStyle w:val="Compact"/>
                    <w:jc w:val="center"/>
                    <w:jc w:val="center"/>
                  </w:pPr>
                  <w:r>
                    <w:t xml:space="preserve">SBCC</w:t>
                  </w:r>
                </w:p>
              </w:tc>
              <w:tc>
                <w:tcPr/>
                <w:p>
                  <w:pPr>
                    <w:pStyle w:val="Compact"/>
                    <w:jc w:val="center"/>
                    <w:jc w:val="center"/>
                  </w:pPr>
                  <w:r>
                    <w:t xml:space="preserve">Cachimbo</w:t>
                  </w:r>
                </w:p>
              </w:tc>
              <w:tc>
                <w:tcPr/>
                <w:p>
                  <w:pPr>
                    <w:pStyle w:val="Compact"/>
                    <w:jc w:val="center"/>
                    <w:jc w:val="center"/>
                  </w:pPr>
                  <w:r>
                    <w:t xml:space="preserve">DTCEA-CC</w:t>
                  </w:r>
                </w:p>
              </w:tc>
              <w:tc>
                <w:tcPr/>
                <w:p>
                  <w:pPr>
                    <w:pStyle w:val="Compact"/>
                    <w:jc w:val="center"/>
                    <w:jc w:val="center"/>
                  </w:pPr>
                  <w:r>
                    <w:t xml:space="preserve">DTCEA-CC</w:t>
                  </w:r>
                </w:p>
              </w:tc>
              <w:tc>
                <w:tcPr/>
                <w:p>
                  <w:pPr>
                    <w:pStyle w:val="Compact"/>
                    <w:jc w:val="center"/>
                    <w:jc w:val="center"/>
                  </w:pPr>
                  <w:r>
                    <w:t xml:space="preserve">COA - Centro Oeste Aeroportos</w:t>
                  </w:r>
                </w:p>
              </w:tc>
            </w:tr>
            <w:tr>
              <w:tc>
                <w:tcPr/>
                <w:p>
                  <w:pPr>
                    <w:pStyle w:val="Compact"/>
                    <w:jc w:val="center"/>
                    <w:jc w:val="center"/>
                  </w:pPr>
                  <w:r>
                    <w:t xml:space="preserve">CINDACTA I</w:t>
                  </w:r>
                </w:p>
              </w:tc>
              <w:tc>
                <w:tcPr/>
                <w:p>
                  <w:pPr>
                    <w:pStyle w:val="Compact"/>
                    <w:jc w:val="center"/>
                    <w:jc w:val="center"/>
                  </w:pPr>
                  <w:r>
                    <w:t xml:space="preserve">R-AFIS</w:t>
                  </w:r>
                </w:p>
              </w:tc>
              <w:tc>
                <w:tcPr/>
                <w:p>
                  <w:pPr>
                    <w:pStyle w:val="Compact"/>
                    <w:jc w:val="center"/>
                    <w:jc w:val="center"/>
                  </w:pPr>
                  <w:r>
                    <w:t xml:space="preserve">SBBQ</w:t>
                  </w:r>
                </w:p>
              </w:tc>
              <w:tc>
                <w:tcPr/>
                <w:p>
                  <w:pPr>
                    <w:pStyle w:val="Compact"/>
                    <w:jc w:val="center"/>
                    <w:jc w:val="center"/>
                  </w:pPr>
                  <w:r>
                    <w:t xml:space="preserve">Barbacena</w:t>
                  </w:r>
                </w:p>
              </w:tc>
              <w:tc>
                <w:tcPr/>
                <w:p>
                  <w:pPr>
                    <w:pStyle w:val="Compact"/>
                    <w:jc w:val="center"/>
                    <w:jc w:val="center"/>
                  </w:pPr>
                  <w:r>
                    <w:t xml:space="preserve">DTCEA-BQ</w:t>
                  </w:r>
                </w:p>
              </w:tc>
              <w:tc>
                <w:tcPr/>
                <w:p>
                  <w:pPr>
                    <w:pStyle w:val="Compact"/>
                    <w:jc w:val="center"/>
                    <w:jc w:val="center"/>
                  </w:pPr>
                  <w:r>
                    <w:t xml:space="preserve">DTCEA-BQ</w:t>
                  </w:r>
                </w:p>
              </w:tc>
              <w:tc>
                <w:tcPr/>
                <w:p>
                  <w:pPr>
                    <w:pStyle w:val="Compact"/>
                    <w:jc w:val="center"/>
                    <w:jc w:val="center"/>
                  </w:pPr>
                  <w:r>
                    <w:t xml:space="preserve">FAB</w:t>
                  </w:r>
                </w:p>
              </w:tc>
            </w:tr>
          </w:tbl>
          <w:bookmarkEnd w:id="496"/>
          <w:p/>
        </w:tc>
      </w:tr>
    </w:tbl>
    <w:p>
      <w:pPr>
        <w:pStyle w:val="Corpodetexto"/>
      </w:pPr>
      <w:r>
        <w:rPr>
          <w:b/>
          <w:bCs/>
        </w:rPr>
        <w:t xml:space="preserve">CINDACTA II</w:t>
      </w:r>
    </w:p>
    <w:p>
      <w:pPr>
        <w:pStyle w:val="Corpodetexto"/>
      </w:pPr>
      <w:r>
        <w:t xml:space="preserve">O CINDACTA II é composto por 1 ACC, 9 APP, 13 TWR, 23 AFIS e 2 R-AFIS. Em determinados horários, alguns APP e TWR operam como AFIS, conforme especificado na</w:t>
      </w:r>
      <w:r>
        <w:t xml:space="preserve"> </w:t>
      </w:r>
      <w:hyperlink w:anchor="tbl-quadro-cindacta2">
        <w:r>
          <w:rPr>
            <w:rStyle w:val="Hyperlink"/>
          </w:rPr>
          <w:t xml:space="preserve">Tabela 5.2</w:t>
        </w:r>
      </w:hyperlink>
      <w:r>
        <w:t xml:space="preserve"> </w:t>
      </w:r>
      <w:r>
        <w:t xml:space="preserve">abaixo:</w:t>
      </w:r>
    </w:p>
    <w:tbl>
      <w:tblPr>
        <w:tblStyle w:val="Table"/>
        <w:tblW w:type="pct" w:w="5000"/>
        <w:tblLayout w:type="fixed"/>
        <w:tblLook w:firstRow="0" w:lastRow="0" w:firstColumn="0" w:lastColumn="0" w:noHBand="0" w:noVBand="0" w:val="0000"/>
      </w:tblPr>
      <w:tblGrid>
        <w:gridCol w:w="7920"/>
      </w:tblGrid>
      <w:tr>
        <w:tc>
          <w:tcPr/>
          <w:bookmarkStart w:id="497" w:name="tbl-quadro-cindacta2"/>
          <w:p>
            <w:pPr>
              <w:jc w:val="center"/>
            </w:pPr>
            <w:pPr>
              <w:jc w:val="left"/>
              <w:spacing w:before="200"/>
              <w:pStyle w:val="ImageCaption"/>
            </w:pPr>
            <w:r>
              <w:t xml:space="preserve">Tabela 5.2: Órgãos ATS do CINDACTA II. Fonte: DECEA</w:t>
            </w:r>
          </w:p>
          <w:tbl>
            <w:tblPr>
              <w:tblStyle w:val="Table"/>
              <w:tblW w:type="pct" w:w="5000"/>
              <w:tblLayout w:type="fixed"/>
              <w:tblLook w:firstRow="1" w:lastRow="0" w:firstColumn="0" w:lastColumn="0" w:noHBand="0" w:noVBand="0" w:val="0020"/>
            </w:tblPr>
            <w:tblGrid>
              <w:gridCol w:w="388"/>
              <w:gridCol w:w="239"/>
              <w:gridCol w:w="239"/>
              <w:gridCol w:w="687"/>
              <w:gridCol w:w="2151"/>
              <w:gridCol w:w="2570"/>
              <w:gridCol w:w="1643"/>
            </w:tblGrid>
            <w:tr>
              <w:trPr>
                <w:tblHeader w:val="on"/>
              </w:trPr>
              <w:tc>
                <w:tcPr/>
                <w:p>
                  <w:pPr>
                    <w:pStyle w:val="Compact"/>
                    <w:jc w:val="center"/>
                    <w:jc w:val="center"/>
                  </w:pPr>
                  <w:r>
                    <w:t xml:space="preserve">REGIONAL</w:t>
                  </w:r>
                </w:p>
              </w:tc>
              <w:tc>
                <w:tcPr/>
                <w:p>
                  <w:pPr>
                    <w:pStyle w:val="Compact"/>
                    <w:jc w:val="center"/>
                    <w:jc w:val="center"/>
                  </w:pPr>
                  <w:r>
                    <w:t xml:space="preserve">ÓRGÃO</w:t>
                  </w:r>
                </w:p>
              </w:tc>
              <w:tc>
                <w:tcPr/>
                <w:p>
                  <w:pPr>
                    <w:pStyle w:val="Compact"/>
                    <w:jc w:val="center"/>
                    <w:jc w:val="center"/>
                  </w:pPr>
                  <w:r>
                    <w:t xml:space="preserve">CÓDIGO</w:t>
                  </w:r>
                </w:p>
              </w:tc>
              <w:tc>
                <w:tcPr/>
                <w:p>
                  <w:pPr>
                    <w:pStyle w:val="Compact"/>
                    <w:jc w:val="center"/>
                    <w:jc w:val="center"/>
                  </w:pPr>
                  <w:r>
                    <w:t xml:space="preserve">NOME</w:t>
                  </w:r>
                </w:p>
              </w:tc>
              <w:tc>
                <w:tcPr/>
                <w:p>
                  <w:pPr>
                    <w:pStyle w:val="Compact"/>
                    <w:jc w:val="center"/>
                    <w:jc w:val="center"/>
                  </w:pPr>
                  <w:r>
                    <w:t xml:space="preserve">RESPONSÁVEL/DESTACAMENTO DO ORGÃO</w:t>
                  </w:r>
                </w:p>
              </w:tc>
              <w:tc>
                <w:tcPr/>
                <w:p>
                  <w:pPr>
                    <w:pStyle w:val="Compact"/>
                    <w:jc w:val="center"/>
                    <w:jc w:val="center"/>
                  </w:pPr>
                  <w:r>
                    <w:t xml:space="preserve">OPERADOR DO ÓRGÃO</w:t>
                  </w:r>
                </w:p>
              </w:tc>
              <w:tc>
                <w:tcPr/>
                <w:p>
                  <w:pPr>
                    <w:pStyle w:val="Compact"/>
                    <w:jc w:val="center"/>
                    <w:jc w:val="center"/>
                  </w:pPr>
                  <w:r>
                    <w:t xml:space="preserve">OPERADOR AEROPORTUÁRIO</w:t>
                  </w:r>
                </w:p>
              </w:tc>
            </w:tr>
            <w:tr>
              <w:tc>
                <w:tcPr/>
                <w:p>
                  <w:pPr>
                    <w:pStyle w:val="Compact"/>
                    <w:jc w:val="center"/>
                    <w:jc w:val="center"/>
                  </w:pPr>
                  <w:r>
                    <w:t xml:space="preserve">CINDACTA II</w:t>
                  </w:r>
                </w:p>
              </w:tc>
              <w:tc>
                <w:tcPr/>
                <w:p>
                  <w:pPr>
                    <w:pStyle w:val="Compact"/>
                    <w:jc w:val="center"/>
                    <w:jc w:val="center"/>
                  </w:pPr>
                  <w:r>
                    <w:t xml:space="preserve">ACC</w:t>
                  </w:r>
                </w:p>
              </w:tc>
              <w:tc>
                <w:tcPr/>
                <w:p>
                  <w:pPr>
                    <w:pStyle w:val="Compact"/>
                    <w:jc w:val="center"/>
                    <w:jc w:val="center"/>
                  </w:pPr>
                  <w:r>
                    <w:t xml:space="preserve">SBCW</w:t>
                  </w:r>
                </w:p>
              </w:tc>
              <w:tc>
                <w:tcPr/>
                <w:p>
                  <w:pPr>
                    <w:pStyle w:val="Compact"/>
                    <w:jc w:val="center"/>
                    <w:jc w:val="center"/>
                  </w:pPr>
                  <w:r>
                    <w:t xml:space="preserve">Curitiba</w:t>
                  </w:r>
                </w:p>
              </w:tc>
              <w:tc>
                <w:tcPr/>
                <w:p>
                  <w:pPr>
                    <w:pStyle w:val="Compact"/>
                    <w:jc w:val="center"/>
                    <w:jc w:val="center"/>
                  </w:pPr>
                  <w:r>
                    <w:t xml:space="preserve">CINDACTA II</w:t>
                  </w:r>
                </w:p>
              </w:tc>
              <w:tc>
                <w:tcPr/>
                <w:p>
                  <w:pPr>
                    <w:pStyle w:val="Compact"/>
                    <w:jc w:val="center"/>
                    <w:jc w:val="center"/>
                  </w:pPr>
                  <w:r>
                    <w:t xml:space="preserve">CINDACTA II</w:t>
                  </w:r>
                </w:p>
              </w:tc>
              <w:tc>
                <w:tcPr/>
                <w:p>
                  <w:pPr>
                    <w:pStyle w:val="Compact"/>
                    <w:jc w:val="center"/>
                    <w:jc w:val="center"/>
                  </w:pPr>
                  <w:r>
                    <w:t xml:space="preserve">-</w:t>
                  </w:r>
                </w:p>
              </w:tc>
            </w:tr>
            <w:tr>
              <w:tc>
                <w:tcPr/>
                <w:p>
                  <w:pPr>
                    <w:pStyle w:val="Compact"/>
                    <w:jc w:val="center"/>
                    <w:jc w:val="center"/>
                  </w:pPr>
                  <w:r>
                    <w:t xml:space="preserve">CINDACTA II</w:t>
                  </w:r>
                </w:p>
              </w:tc>
              <w:tc>
                <w:tcPr/>
                <w:p>
                  <w:pPr>
                    <w:pStyle w:val="Compact"/>
                    <w:jc w:val="center"/>
                    <w:jc w:val="center"/>
                  </w:pPr>
                  <w:r>
                    <w:t xml:space="preserve">APP</w:t>
                  </w:r>
                </w:p>
              </w:tc>
              <w:tc>
                <w:tcPr/>
                <w:p>
                  <w:pPr>
                    <w:pStyle w:val="Compact"/>
                    <w:jc w:val="center"/>
                    <w:jc w:val="center"/>
                  </w:pPr>
                  <w:r>
                    <w:t xml:space="preserve">SBWE</w:t>
                  </w:r>
                </w:p>
              </w:tc>
              <w:tc>
                <w:tcPr/>
                <w:p>
                  <w:pPr>
                    <w:pStyle w:val="Compact"/>
                    <w:jc w:val="center"/>
                    <w:jc w:val="center"/>
                  </w:pPr>
                  <w:r>
                    <w:t xml:space="preserve">Macaé</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w:t>
                  </w:r>
                </w:p>
              </w:tc>
            </w:tr>
            <w:tr>
              <w:tc>
                <w:tcPr/>
                <w:p>
                  <w:pPr>
                    <w:pStyle w:val="Compact"/>
                    <w:jc w:val="center"/>
                    <w:jc w:val="center"/>
                  </w:pPr>
                  <w:r>
                    <w:t xml:space="preserve">CINDACTA II</w:t>
                  </w:r>
                </w:p>
              </w:tc>
              <w:tc>
                <w:tcPr/>
                <w:p>
                  <w:pPr>
                    <w:pStyle w:val="Compact"/>
                    <w:jc w:val="center"/>
                    <w:jc w:val="center"/>
                  </w:pPr>
                  <w:r>
                    <w:t xml:space="preserve">APP</w:t>
                  </w:r>
                </w:p>
              </w:tc>
              <w:tc>
                <w:tcPr/>
                <w:p>
                  <w:pPr>
                    <w:pStyle w:val="Compact"/>
                    <w:jc w:val="center"/>
                    <w:jc w:val="center"/>
                  </w:pPr>
                  <w:r>
                    <w:t xml:space="preserve">SBWG</w:t>
                  </w:r>
                </w:p>
              </w:tc>
              <w:tc>
                <w:tcPr/>
                <w:p>
                  <w:pPr>
                    <w:pStyle w:val="Compact"/>
                    <w:jc w:val="center"/>
                    <w:jc w:val="center"/>
                  </w:pPr>
                  <w:r>
                    <w:t xml:space="preserve">Campo Grande</w:t>
                  </w:r>
                </w:p>
              </w:tc>
              <w:tc>
                <w:tcPr/>
                <w:p>
                  <w:pPr>
                    <w:pStyle w:val="Compact"/>
                    <w:jc w:val="center"/>
                    <w:jc w:val="center"/>
                  </w:pPr>
                  <w:r>
                    <w:t xml:space="preserve">DTCEA-CG</w:t>
                  </w:r>
                </w:p>
              </w:tc>
              <w:tc>
                <w:tcPr/>
                <w:p>
                  <w:pPr>
                    <w:pStyle w:val="Compact"/>
                    <w:jc w:val="center"/>
                    <w:jc w:val="center"/>
                  </w:pPr>
                  <w:r>
                    <w:t xml:space="preserve">DTCEA-CG</w:t>
                  </w:r>
                </w:p>
              </w:tc>
              <w:tc>
                <w:tcPr/>
                <w:p>
                  <w:pPr>
                    <w:pStyle w:val="Compact"/>
                    <w:jc w:val="center"/>
                    <w:jc w:val="center"/>
                  </w:pPr>
                  <w:r>
                    <w:t xml:space="preserve">-</w:t>
                  </w:r>
                </w:p>
              </w:tc>
            </w:tr>
            <w:tr>
              <w:tc>
                <w:tcPr/>
                <w:p>
                  <w:pPr>
                    <w:pStyle w:val="Compact"/>
                    <w:jc w:val="center"/>
                    <w:jc w:val="center"/>
                  </w:pPr>
                  <w:r>
                    <w:t xml:space="preserve">CINDACTA II</w:t>
                  </w:r>
                </w:p>
              </w:tc>
              <w:tc>
                <w:tcPr/>
                <w:p>
                  <w:pPr>
                    <w:pStyle w:val="Compact"/>
                    <w:jc w:val="center"/>
                    <w:jc w:val="center"/>
                  </w:pPr>
                  <w:r>
                    <w:t xml:space="preserve">APP</w:t>
                  </w:r>
                </w:p>
              </w:tc>
              <w:tc>
                <w:tcPr/>
                <w:p>
                  <w:pPr>
                    <w:pStyle w:val="Compact"/>
                    <w:jc w:val="center"/>
                    <w:jc w:val="center"/>
                  </w:pPr>
                  <w:r>
                    <w:t xml:space="preserve">SBWI</w:t>
                  </w:r>
                </w:p>
              </w:tc>
              <w:tc>
                <w:tcPr/>
                <w:p>
                  <w:pPr>
                    <w:pStyle w:val="Compact"/>
                    <w:jc w:val="center"/>
                    <w:jc w:val="center"/>
                  </w:pPr>
                  <w:r>
                    <w:t xml:space="preserve">Foz do Iguaçu</w:t>
                  </w:r>
                </w:p>
              </w:tc>
              <w:tc>
                <w:tcPr/>
                <w:p>
                  <w:pPr>
                    <w:pStyle w:val="Compact"/>
                    <w:jc w:val="center"/>
                    <w:jc w:val="center"/>
                  </w:pPr>
                  <w:r>
                    <w:t xml:space="preserve">DTCEA-FI</w:t>
                  </w:r>
                </w:p>
              </w:tc>
              <w:tc>
                <w:tcPr/>
                <w:p>
                  <w:pPr>
                    <w:pStyle w:val="Compact"/>
                    <w:jc w:val="center"/>
                    <w:jc w:val="center"/>
                  </w:pPr>
                  <w:r>
                    <w:t xml:space="preserve">DTCEA-FI</w:t>
                  </w:r>
                </w:p>
              </w:tc>
              <w:tc>
                <w:tcPr/>
                <w:p>
                  <w:pPr>
                    <w:pStyle w:val="Compact"/>
                    <w:jc w:val="center"/>
                    <w:jc w:val="center"/>
                  </w:pPr>
                  <w:r>
                    <w:t xml:space="preserve">-</w:t>
                  </w:r>
                </w:p>
              </w:tc>
            </w:tr>
            <w:tr>
              <w:tc>
                <w:tcPr/>
                <w:p>
                  <w:pPr>
                    <w:pStyle w:val="Compact"/>
                    <w:jc w:val="center"/>
                    <w:jc w:val="center"/>
                  </w:pPr>
                  <w:r>
                    <w:t xml:space="preserve">CINDACTA II</w:t>
                  </w:r>
                </w:p>
              </w:tc>
              <w:tc>
                <w:tcPr/>
                <w:p>
                  <w:pPr>
                    <w:pStyle w:val="Compact"/>
                    <w:jc w:val="center"/>
                    <w:jc w:val="center"/>
                  </w:pPr>
                  <w:r>
                    <w:t xml:space="preserve">APP</w:t>
                  </w:r>
                </w:p>
              </w:tc>
              <w:tc>
                <w:tcPr/>
                <w:p>
                  <w:pPr>
                    <w:pStyle w:val="Compact"/>
                    <w:jc w:val="center"/>
                    <w:jc w:val="center"/>
                  </w:pPr>
                  <w:r>
                    <w:t xml:space="preserve">SBWM</w:t>
                  </w:r>
                </w:p>
              </w:tc>
              <w:tc>
                <w:tcPr/>
                <w:p>
                  <w:pPr>
                    <w:pStyle w:val="Compact"/>
                    <w:jc w:val="center"/>
                    <w:jc w:val="center"/>
                  </w:pPr>
                  <w:r>
                    <w:t xml:space="preserve">Santa Maria</w:t>
                  </w:r>
                </w:p>
              </w:tc>
              <w:tc>
                <w:tcPr/>
                <w:p>
                  <w:pPr>
                    <w:pStyle w:val="Compact"/>
                    <w:jc w:val="center"/>
                    <w:jc w:val="center"/>
                  </w:pPr>
                  <w:r>
                    <w:t xml:space="preserve">DTCEA-SM</w:t>
                  </w:r>
                </w:p>
              </w:tc>
              <w:tc>
                <w:tcPr/>
                <w:p>
                  <w:pPr>
                    <w:pStyle w:val="Compact"/>
                    <w:jc w:val="center"/>
                    <w:jc w:val="center"/>
                  </w:pPr>
                  <w:r>
                    <w:t xml:space="preserve">DTCEA-SM</w:t>
                  </w:r>
                </w:p>
              </w:tc>
              <w:tc>
                <w:tcPr/>
                <w:p>
                  <w:pPr>
                    <w:pStyle w:val="Compact"/>
                    <w:jc w:val="center"/>
                    <w:jc w:val="center"/>
                  </w:pPr>
                  <w:r>
                    <w:t xml:space="preserve">-</w:t>
                  </w:r>
                </w:p>
              </w:tc>
            </w:tr>
            <w:tr>
              <w:tc>
                <w:tcPr/>
                <w:p>
                  <w:pPr>
                    <w:pStyle w:val="Compact"/>
                    <w:jc w:val="center"/>
                    <w:jc w:val="center"/>
                  </w:pPr>
                  <w:r>
                    <w:t xml:space="preserve">CINDACTA II</w:t>
                  </w:r>
                </w:p>
              </w:tc>
              <w:tc>
                <w:tcPr/>
                <w:p>
                  <w:pPr>
                    <w:pStyle w:val="Compact"/>
                    <w:jc w:val="center"/>
                    <w:jc w:val="center"/>
                  </w:pPr>
                  <w:r>
                    <w:t xml:space="preserve">APP</w:t>
                  </w:r>
                </w:p>
              </w:tc>
              <w:tc>
                <w:tcPr/>
                <w:p>
                  <w:pPr>
                    <w:pStyle w:val="Compact"/>
                    <w:jc w:val="center"/>
                    <w:jc w:val="center"/>
                  </w:pPr>
                  <w:r>
                    <w:t xml:space="preserve">SBWP</w:t>
                  </w:r>
                </w:p>
              </w:tc>
              <w:tc>
                <w:tcPr/>
                <w:p>
                  <w:pPr>
                    <w:pStyle w:val="Compact"/>
                    <w:jc w:val="center"/>
                    <w:jc w:val="center"/>
                  </w:pPr>
                  <w:r>
                    <w:t xml:space="preserve">Porto Alegre</w:t>
                  </w:r>
                </w:p>
              </w:tc>
              <w:tc>
                <w:tcPr/>
                <w:p>
                  <w:pPr>
                    <w:pStyle w:val="Compact"/>
                    <w:jc w:val="center"/>
                    <w:jc w:val="center"/>
                  </w:pPr>
                  <w:r>
                    <w:t xml:space="preserve">DTCEA-CO</w:t>
                  </w:r>
                </w:p>
              </w:tc>
              <w:tc>
                <w:tcPr/>
                <w:p>
                  <w:pPr>
                    <w:pStyle w:val="Compact"/>
                    <w:jc w:val="center"/>
                    <w:jc w:val="center"/>
                  </w:pPr>
                  <w:r>
                    <w:t xml:space="preserve">DTCEA-CO</w:t>
                  </w:r>
                </w:p>
              </w:tc>
              <w:tc>
                <w:tcPr/>
                <w:p>
                  <w:pPr>
                    <w:pStyle w:val="Compact"/>
                    <w:jc w:val="center"/>
                    <w:jc w:val="center"/>
                  </w:pPr>
                  <w:r>
                    <w:t xml:space="preserve">-</w:t>
                  </w:r>
                </w:p>
              </w:tc>
            </w:tr>
            <w:tr>
              <w:tc>
                <w:tcPr/>
                <w:p>
                  <w:pPr>
                    <w:pStyle w:val="Compact"/>
                    <w:jc w:val="center"/>
                    <w:jc w:val="center"/>
                  </w:pPr>
                  <w:r>
                    <w:t xml:space="preserve">CINDACTA II</w:t>
                  </w:r>
                </w:p>
              </w:tc>
              <w:tc>
                <w:tcPr/>
                <w:p>
                  <w:pPr>
                    <w:pStyle w:val="Compact"/>
                    <w:jc w:val="center"/>
                    <w:jc w:val="center"/>
                  </w:pPr>
                  <w:r>
                    <w:t xml:space="preserve">APP</w:t>
                  </w:r>
                </w:p>
              </w:tc>
              <w:tc>
                <w:tcPr/>
                <w:p>
                  <w:pPr>
                    <w:pStyle w:val="Compact"/>
                    <w:jc w:val="center"/>
                    <w:jc w:val="center"/>
                  </w:pPr>
                  <w:r>
                    <w:t xml:space="preserve">SBWT</w:t>
                  </w:r>
                </w:p>
              </w:tc>
              <w:tc>
                <w:tcPr/>
                <w:p>
                  <w:pPr>
                    <w:pStyle w:val="Compact"/>
                    <w:jc w:val="center"/>
                    <w:jc w:val="center"/>
                  </w:pPr>
                  <w:r>
                    <w:t xml:space="preserve">Curitiba</w:t>
                  </w:r>
                </w:p>
              </w:tc>
              <w:tc>
                <w:tcPr/>
                <w:p>
                  <w:pPr>
                    <w:pStyle w:val="Compact"/>
                    <w:jc w:val="center"/>
                    <w:jc w:val="center"/>
                  </w:pPr>
                  <w:r>
                    <w:t xml:space="preserve">DTCEA-CT</w:t>
                  </w:r>
                </w:p>
              </w:tc>
              <w:tc>
                <w:tcPr/>
                <w:p>
                  <w:pPr>
                    <w:pStyle w:val="Compact"/>
                    <w:jc w:val="center"/>
                    <w:jc w:val="center"/>
                  </w:pPr>
                  <w:r>
                    <w:t xml:space="preserve">DTCEA-CT</w:t>
                  </w:r>
                </w:p>
              </w:tc>
              <w:tc>
                <w:tcPr/>
                <w:p>
                  <w:pPr>
                    <w:pStyle w:val="Compact"/>
                    <w:jc w:val="center"/>
                    <w:jc w:val="center"/>
                  </w:pPr>
                  <w:r>
                    <w:t xml:space="preserve">-</w:t>
                  </w:r>
                </w:p>
              </w:tc>
            </w:tr>
            <w:tr>
              <w:tc>
                <w:tcPr/>
                <w:p>
                  <w:pPr>
                    <w:pStyle w:val="Compact"/>
                    <w:jc w:val="center"/>
                    <w:jc w:val="center"/>
                  </w:pPr>
                  <w:r>
                    <w:t xml:space="preserve">CINDACTA II</w:t>
                  </w:r>
                </w:p>
              </w:tc>
              <w:tc>
                <w:tcPr/>
                <w:p>
                  <w:pPr>
                    <w:pStyle w:val="Compact"/>
                    <w:jc w:val="center"/>
                    <w:jc w:val="center"/>
                  </w:pPr>
                  <w:r>
                    <w:t xml:space="preserve">APP</w:t>
                  </w:r>
                </w:p>
              </w:tc>
              <w:tc>
                <w:tcPr/>
                <w:p>
                  <w:pPr>
                    <w:pStyle w:val="Compact"/>
                    <w:jc w:val="center"/>
                    <w:jc w:val="center"/>
                  </w:pPr>
                  <w:r>
                    <w:t xml:space="preserve">SBXF</w:t>
                  </w:r>
                </w:p>
              </w:tc>
              <w:tc>
                <w:tcPr/>
                <w:p>
                  <w:pPr>
                    <w:pStyle w:val="Compact"/>
                    <w:jc w:val="center"/>
                    <w:jc w:val="center"/>
                  </w:pPr>
                  <w:r>
                    <w:t xml:space="preserve">Florianópolis</w:t>
                  </w:r>
                </w:p>
              </w:tc>
              <w:tc>
                <w:tcPr/>
                <w:p>
                  <w:pPr>
                    <w:pStyle w:val="Compact"/>
                    <w:jc w:val="center"/>
                    <w:jc w:val="center"/>
                  </w:pPr>
                  <w:r>
                    <w:t xml:space="preserve">DTCEA-FL</w:t>
                  </w:r>
                </w:p>
              </w:tc>
              <w:tc>
                <w:tcPr/>
                <w:p>
                  <w:pPr>
                    <w:pStyle w:val="Compact"/>
                    <w:jc w:val="center"/>
                    <w:jc w:val="center"/>
                  </w:pPr>
                  <w:r>
                    <w:t xml:space="preserve">DTCEA-FL</w:t>
                  </w:r>
                </w:p>
              </w:tc>
              <w:tc>
                <w:tcPr/>
                <w:p>
                  <w:pPr>
                    <w:pStyle w:val="Compact"/>
                    <w:jc w:val="center"/>
                    <w:jc w:val="center"/>
                  </w:pPr>
                  <w:r>
                    <w:t xml:space="preserve">-</w:t>
                  </w:r>
                </w:p>
              </w:tc>
            </w:tr>
            <w:tr>
              <w:tc>
                <w:tcPr/>
                <w:p>
                  <w:pPr>
                    <w:pStyle w:val="Compact"/>
                    <w:jc w:val="center"/>
                    <w:jc w:val="center"/>
                  </w:pPr>
                  <w:r>
                    <w:t xml:space="preserve">CINDACTA II</w:t>
                  </w:r>
                </w:p>
              </w:tc>
              <w:tc>
                <w:tcPr/>
                <w:p>
                  <w:pPr>
                    <w:pStyle w:val="Compact"/>
                    <w:jc w:val="center"/>
                    <w:jc w:val="center"/>
                  </w:pPr>
                  <w:r>
                    <w:t xml:space="preserve">APP</w:t>
                  </w:r>
                </w:p>
              </w:tc>
              <w:tc>
                <w:tcPr/>
                <w:p>
                  <w:pPr>
                    <w:pStyle w:val="Compact"/>
                    <w:jc w:val="center"/>
                    <w:jc w:val="center"/>
                  </w:pPr>
                  <w:r>
                    <w:t xml:space="preserve">SBXG</w:t>
                  </w:r>
                </w:p>
              </w:tc>
              <w:tc>
                <w:tcPr/>
                <w:p>
                  <w:pPr>
                    <w:pStyle w:val="Compact"/>
                    <w:jc w:val="center"/>
                    <w:jc w:val="center"/>
                  </w:pPr>
                  <w:r>
                    <w:t xml:space="preserve">Presidente Prudente</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w:t>
                  </w:r>
                </w:p>
              </w:tc>
            </w:tr>
            <w:tr>
              <w:tc>
                <w:tcPr/>
                <w:p>
                  <w:pPr>
                    <w:pStyle w:val="Compact"/>
                    <w:jc w:val="center"/>
                    <w:jc w:val="center"/>
                  </w:pPr>
                  <w:r>
                    <w:t xml:space="preserve">CINDACTA II</w:t>
                  </w:r>
                </w:p>
              </w:tc>
              <w:tc>
                <w:tcPr/>
                <w:p>
                  <w:pPr>
                    <w:pStyle w:val="Compact"/>
                    <w:jc w:val="center"/>
                    <w:jc w:val="center"/>
                  </w:pPr>
                  <w:r>
                    <w:t xml:space="preserve">APP</w:t>
                  </w:r>
                </w:p>
              </w:tc>
              <w:tc>
                <w:tcPr/>
                <w:p>
                  <w:pPr>
                    <w:pStyle w:val="Compact"/>
                    <w:jc w:val="center"/>
                    <w:jc w:val="center"/>
                  </w:pPr>
                  <w:r>
                    <w:t xml:space="preserve">SBXO</w:t>
                  </w:r>
                </w:p>
              </w:tc>
              <w:tc>
                <w:tcPr/>
                <w:p>
                  <w:pPr>
                    <w:pStyle w:val="Compact"/>
                    <w:jc w:val="center"/>
                    <w:jc w:val="center"/>
                  </w:pPr>
                  <w:r>
                    <w:t xml:space="preserve">Londrina</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w:t>
                  </w:r>
                </w:p>
              </w:tc>
            </w:tr>
            <w:tr>
              <w:tc>
                <w:tcPr/>
                <w:p>
                  <w:pPr>
                    <w:pStyle w:val="Compact"/>
                    <w:jc w:val="center"/>
                    <w:jc w:val="center"/>
                  </w:pPr>
                  <w:r>
                    <w:t xml:space="preserve">CINDACTA II</w:t>
                  </w:r>
                </w:p>
              </w:tc>
              <w:tc>
                <w:tcPr/>
                <w:p>
                  <w:pPr>
                    <w:pStyle w:val="Compact"/>
                    <w:jc w:val="center"/>
                    <w:jc w:val="center"/>
                  </w:pPr>
                  <w:r>
                    <w:t xml:space="preserve">TWR</w:t>
                  </w:r>
                </w:p>
              </w:tc>
              <w:tc>
                <w:tcPr/>
                <w:p>
                  <w:pPr>
                    <w:pStyle w:val="Compact"/>
                    <w:jc w:val="center"/>
                    <w:jc w:val="center"/>
                  </w:pPr>
                  <w:r>
                    <w:t xml:space="preserve">SBBI</w:t>
                  </w:r>
                </w:p>
              </w:tc>
              <w:tc>
                <w:tcPr/>
                <w:p>
                  <w:pPr>
                    <w:pStyle w:val="Compact"/>
                    <w:jc w:val="center"/>
                    <w:jc w:val="center"/>
                  </w:pPr>
                  <w:r>
                    <w:t xml:space="preserve">Bacacheri</w:t>
                  </w:r>
                </w:p>
              </w:tc>
              <w:tc>
                <w:tcPr/>
                <w:p>
                  <w:pPr>
                    <w:pStyle w:val="Compact"/>
                    <w:jc w:val="center"/>
                    <w:jc w:val="center"/>
                  </w:pPr>
                  <w:r>
                    <w:t xml:space="preserve">CINDACTA II</w:t>
                  </w:r>
                </w:p>
              </w:tc>
              <w:tc>
                <w:tcPr/>
                <w:p>
                  <w:pPr>
                    <w:pStyle w:val="Compact"/>
                    <w:jc w:val="center"/>
                    <w:jc w:val="center"/>
                  </w:pPr>
                  <w:r>
                    <w:t xml:space="preserve">CINDACTA II</w:t>
                  </w:r>
                </w:p>
              </w:tc>
              <w:tc>
                <w:tcPr/>
                <w:p>
                  <w:pPr>
                    <w:pStyle w:val="Compact"/>
                    <w:jc w:val="center"/>
                    <w:jc w:val="center"/>
                  </w:pPr>
                  <w:r>
                    <w:t xml:space="preserve">CCR AEROPORTOS</w:t>
                  </w:r>
                </w:p>
              </w:tc>
            </w:tr>
            <w:tr>
              <w:tc>
                <w:tcPr/>
                <w:p>
                  <w:pPr>
                    <w:pStyle w:val="Compact"/>
                    <w:jc w:val="center"/>
                    <w:jc w:val="center"/>
                  </w:pPr>
                  <w:r>
                    <w:t xml:space="preserve">CINDACTA II</w:t>
                  </w:r>
                </w:p>
              </w:tc>
              <w:tc>
                <w:tcPr/>
                <w:p>
                  <w:pPr>
                    <w:pStyle w:val="Compact"/>
                    <w:jc w:val="center"/>
                    <w:jc w:val="center"/>
                  </w:pPr>
                  <w:r>
                    <w:t xml:space="preserve">TWR</w:t>
                  </w:r>
                </w:p>
              </w:tc>
              <w:tc>
                <w:tcPr/>
                <w:p>
                  <w:pPr>
                    <w:pStyle w:val="Compact"/>
                    <w:jc w:val="center"/>
                    <w:jc w:val="center"/>
                  </w:pPr>
                  <w:r>
                    <w:t xml:space="preserve">SBCG</w:t>
                  </w:r>
                </w:p>
              </w:tc>
              <w:tc>
                <w:tcPr/>
                <w:p>
                  <w:pPr>
                    <w:pStyle w:val="Compact"/>
                    <w:jc w:val="center"/>
                    <w:jc w:val="center"/>
                  </w:pPr>
                  <w:r>
                    <w:t xml:space="preserve">Campo Grande</w:t>
                  </w:r>
                </w:p>
              </w:tc>
              <w:tc>
                <w:tcPr/>
                <w:p>
                  <w:pPr>
                    <w:pStyle w:val="Compact"/>
                    <w:jc w:val="center"/>
                    <w:jc w:val="center"/>
                  </w:pPr>
                  <w:r>
                    <w:t xml:space="preserve">DTCEA-CG</w:t>
                  </w:r>
                </w:p>
              </w:tc>
              <w:tc>
                <w:tcPr/>
                <w:p>
                  <w:pPr>
                    <w:pStyle w:val="Compact"/>
                    <w:jc w:val="center"/>
                    <w:jc w:val="center"/>
                  </w:pPr>
                  <w:r>
                    <w:t xml:space="preserve">DTCEA-CG</w:t>
                  </w:r>
                </w:p>
              </w:tc>
              <w:tc>
                <w:tcPr/>
                <w:p>
                  <w:pPr>
                    <w:pStyle w:val="Compact"/>
                    <w:jc w:val="center"/>
                    <w:jc w:val="center"/>
                  </w:pPr>
                  <w:r>
                    <w:t xml:space="preserve">AENA</w:t>
                  </w:r>
                </w:p>
              </w:tc>
            </w:tr>
            <w:tr>
              <w:tc>
                <w:tcPr/>
                <w:p>
                  <w:pPr>
                    <w:pStyle w:val="Compact"/>
                    <w:jc w:val="center"/>
                    <w:jc w:val="center"/>
                  </w:pPr>
                  <w:r>
                    <w:t xml:space="preserve">CINDACTA II</w:t>
                  </w:r>
                </w:p>
              </w:tc>
              <w:tc>
                <w:tcPr/>
                <w:p>
                  <w:pPr>
                    <w:pStyle w:val="Compact"/>
                    <w:jc w:val="center"/>
                    <w:jc w:val="center"/>
                  </w:pPr>
                  <w:r>
                    <w:t xml:space="preserve">TWR</w:t>
                  </w:r>
                </w:p>
              </w:tc>
              <w:tc>
                <w:tcPr/>
                <w:p>
                  <w:pPr>
                    <w:pStyle w:val="Compact"/>
                    <w:jc w:val="center"/>
                    <w:jc w:val="center"/>
                  </w:pPr>
                  <w:r>
                    <w:t xml:space="preserve">SBCO</w:t>
                  </w:r>
                </w:p>
              </w:tc>
              <w:tc>
                <w:tcPr/>
                <w:p>
                  <w:pPr>
                    <w:pStyle w:val="Compact"/>
                    <w:jc w:val="center"/>
                    <w:jc w:val="center"/>
                  </w:pPr>
                  <w:r>
                    <w:t xml:space="preserve">Canoas</w:t>
                  </w:r>
                </w:p>
              </w:tc>
              <w:tc>
                <w:tcPr/>
                <w:p>
                  <w:pPr>
                    <w:pStyle w:val="Compact"/>
                    <w:jc w:val="center"/>
                    <w:jc w:val="center"/>
                  </w:pPr>
                  <w:r>
                    <w:t xml:space="preserve">DTCEA-CO</w:t>
                  </w:r>
                </w:p>
              </w:tc>
              <w:tc>
                <w:tcPr/>
                <w:p>
                  <w:pPr>
                    <w:pStyle w:val="Compact"/>
                    <w:jc w:val="center"/>
                    <w:jc w:val="center"/>
                  </w:pPr>
                  <w:r>
                    <w:t xml:space="preserve">DTCEA-CO</w:t>
                  </w:r>
                </w:p>
              </w:tc>
              <w:tc>
                <w:tcPr/>
                <w:p>
                  <w:pPr>
                    <w:pStyle w:val="Compact"/>
                    <w:jc w:val="center"/>
                    <w:jc w:val="center"/>
                  </w:pPr>
                  <w:r>
                    <w:t xml:space="preserve">FAB</w:t>
                  </w:r>
                </w:p>
              </w:tc>
            </w:tr>
            <w:tr>
              <w:tc>
                <w:tcPr/>
                <w:p>
                  <w:pPr>
                    <w:pStyle w:val="Compact"/>
                    <w:jc w:val="center"/>
                    <w:jc w:val="center"/>
                  </w:pPr>
                  <w:r>
                    <w:t xml:space="preserve">CINDACTA II</w:t>
                  </w:r>
                </w:p>
              </w:tc>
              <w:tc>
                <w:tcPr/>
                <w:p>
                  <w:pPr>
                    <w:pStyle w:val="Compact"/>
                    <w:jc w:val="center"/>
                    <w:jc w:val="center"/>
                  </w:pPr>
                  <w:r>
                    <w:t xml:space="preserve">TWR</w:t>
                  </w:r>
                </w:p>
              </w:tc>
              <w:tc>
                <w:tcPr/>
                <w:p>
                  <w:pPr>
                    <w:pStyle w:val="Compact"/>
                    <w:jc w:val="center"/>
                    <w:jc w:val="center"/>
                  </w:pPr>
                  <w:r>
                    <w:t xml:space="preserve">SBCT</w:t>
                  </w:r>
                </w:p>
              </w:tc>
              <w:tc>
                <w:tcPr/>
                <w:p>
                  <w:pPr>
                    <w:pStyle w:val="Compact"/>
                    <w:jc w:val="center"/>
                    <w:jc w:val="center"/>
                  </w:pPr>
                  <w:r>
                    <w:t xml:space="preserve">Curitiba</w:t>
                  </w:r>
                </w:p>
              </w:tc>
              <w:tc>
                <w:tcPr/>
                <w:p>
                  <w:pPr>
                    <w:pStyle w:val="Compact"/>
                    <w:jc w:val="center"/>
                    <w:jc w:val="center"/>
                  </w:pPr>
                  <w:r>
                    <w:t xml:space="preserve">DTCEA-CT</w:t>
                  </w:r>
                </w:p>
              </w:tc>
              <w:tc>
                <w:tcPr/>
                <w:p>
                  <w:pPr>
                    <w:pStyle w:val="Compact"/>
                    <w:jc w:val="center"/>
                    <w:jc w:val="center"/>
                  </w:pPr>
                  <w:r>
                    <w:t xml:space="preserve">DTCEA-CT</w:t>
                  </w:r>
                </w:p>
              </w:tc>
              <w:tc>
                <w:tcPr/>
                <w:p>
                  <w:pPr>
                    <w:pStyle w:val="Compact"/>
                    <w:jc w:val="center"/>
                    <w:jc w:val="center"/>
                  </w:pPr>
                  <w:r>
                    <w:t xml:space="preserve">CCR AEROPORTOS</w:t>
                  </w:r>
                </w:p>
              </w:tc>
            </w:tr>
            <w:tr>
              <w:tc>
                <w:tcPr/>
                <w:p>
                  <w:pPr>
                    <w:pStyle w:val="Compact"/>
                    <w:jc w:val="center"/>
                    <w:jc w:val="center"/>
                  </w:pPr>
                  <w:r>
                    <w:t xml:space="preserve">CINDACTA II</w:t>
                  </w:r>
                </w:p>
              </w:tc>
              <w:tc>
                <w:tcPr/>
                <w:p>
                  <w:pPr>
                    <w:pStyle w:val="Compact"/>
                    <w:jc w:val="center"/>
                    <w:jc w:val="center"/>
                  </w:pPr>
                  <w:r>
                    <w:t xml:space="preserve">TWR</w:t>
                  </w:r>
                </w:p>
              </w:tc>
              <w:tc>
                <w:tcPr/>
                <w:p>
                  <w:pPr>
                    <w:pStyle w:val="Compact"/>
                    <w:jc w:val="center"/>
                    <w:jc w:val="center"/>
                  </w:pPr>
                  <w:r>
                    <w:t xml:space="preserve">SBDN</w:t>
                  </w:r>
                </w:p>
              </w:tc>
              <w:tc>
                <w:tcPr/>
                <w:p>
                  <w:pPr>
                    <w:pStyle w:val="Compact"/>
                    <w:jc w:val="center"/>
                    <w:jc w:val="center"/>
                  </w:pPr>
                  <w:r>
                    <w:t xml:space="preserve">Presidente Prudente</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AEROPORTOS PAULISTAS</w:t>
                  </w:r>
                </w:p>
              </w:tc>
            </w:tr>
            <w:tr>
              <w:tc>
                <w:tcPr/>
                <w:p>
                  <w:pPr>
                    <w:pStyle w:val="Compact"/>
                    <w:jc w:val="center"/>
                    <w:jc w:val="center"/>
                  </w:pPr>
                  <w:r>
                    <w:t xml:space="preserve">CINDACTA II</w:t>
                  </w:r>
                </w:p>
              </w:tc>
              <w:tc>
                <w:tcPr/>
                <w:p>
                  <w:pPr>
                    <w:pStyle w:val="Compact"/>
                    <w:jc w:val="center"/>
                    <w:jc w:val="center"/>
                  </w:pPr>
                  <w:r>
                    <w:t xml:space="preserve">TWR</w:t>
                  </w:r>
                </w:p>
              </w:tc>
              <w:tc>
                <w:tcPr/>
                <w:p>
                  <w:pPr>
                    <w:pStyle w:val="Compact"/>
                    <w:jc w:val="center"/>
                    <w:jc w:val="center"/>
                  </w:pPr>
                  <w:r>
                    <w:t xml:space="preserve">SBFI</w:t>
                  </w:r>
                </w:p>
              </w:tc>
              <w:tc>
                <w:tcPr/>
                <w:p>
                  <w:pPr>
                    <w:pStyle w:val="Compact"/>
                    <w:jc w:val="center"/>
                    <w:jc w:val="center"/>
                  </w:pPr>
                  <w:r>
                    <w:t xml:space="preserve">Foz</w:t>
                  </w:r>
                </w:p>
              </w:tc>
              <w:tc>
                <w:tcPr/>
                <w:p>
                  <w:pPr>
                    <w:pStyle w:val="Compact"/>
                    <w:jc w:val="center"/>
                    <w:jc w:val="center"/>
                  </w:pPr>
                  <w:r>
                    <w:t xml:space="preserve">DTCEA-FI</w:t>
                  </w:r>
                </w:p>
              </w:tc>
              <w:tc>
                <w:tcPr/>
                <w:p>
                  <w:pPr>
                    <w:pStyle w:val="Compact"/>
                    <w:jc w:val="center"/>
                    <w:jc w:val="center"/>
                  </w:pPr>
                  <w:r>
                    <w:t xml:space="preserve">DTCEA-FI</w:t>
                  </w:r>
                </w:p>
              </w:tc>
              <w:tc>
                <w:tcPr/>
                <w:p>
                  <w:pPr>
                    <w:pStyle w:val="Compact"/>
                    <w:jc w:val="center"/>
                    <w:jc w:val="center"/>
                  </w:pPr>
                  <w:r>
                    <w:t xml:space="preserve">CCR AEROPORTOS</w:t>
                  </w:r>
                </w:p>
              </w:tc>
            </w:tr>
            <w:tr>
              <w:tc>
                <w:tcPr/>
                <w:p>
                  <w:pPr>
                    <w:pStyle w:val="Compact"/>
                    <w:jc w:val="center"/>
                    <w:jc w:val="center"/>
                  </w:pPr>
                  <w:r>
                    <w:t xml:space="preserve">CINDACTA II</w:t>
                  </w:r>
                </w:p>
              </w:tc>
              <w:tc>
                <w:tcPr/>
                <w:p>
                  <w:pPr>
                    <w:pStyle w:val="Compact"/>
                    <w:jc w:val="center"/>
                    <w:jc w:val="center"/>
                  </w:pPr>
                  <w:r>
                    <w:t xml:space="preserve">TWR</w:t>
                  </w:r>
                </w:p>
              </w:tc>
              <w:tc>
                <w:tcPr/>
                <w:p>
                  <w:pPr>
                    <w:pStyle w:val="Compact"/>
                    <w:jc w:val="center"/>
                    <w:jc w:val="center"/>
                  </w:pPr>
                  <w:r>
                    <w:t xml:space="preserve">SBFL</w:t>
                  </w:r>
                </w:p>
              </w:tc>
              <w:tc>
                <w:tcPr/>
                <w:p>
                  <w:pPr>
                    <w:pStyle w:val="Compact"/>
                    <w:jc w:val="center"/>
                    <w:jc w:val="center"/>
                  </w:pPr>
                  <w:r>
                    <w:t xml:space="preserve">Florianópolis</w:t>
                  </w:r>
                </w:p>
              </w:tc>
              <w:tc>
                <w:tcPr/>
                <w:p>
                  <w:pPr>
                    <w:pStyle w:val="Compact"/>
                    <w:jc w:val="center"/>
                    <w:jc w:val="center"/>
                  </w:pPr>
                  <w:r>
                    <w:t xml:space="preserve">DTCEA-FL</w:t>
                  </w:r>
                </w:p>
              </w:tc>
              <w:tc>
                <w:tcPr/>
                <w:p>
                  <w:pPr>
                    <w:pStyle w:val="Compact"/>
                    <w:jc w:val="center"/>
                    <w:jc w:val="center"/>
                  </w:pPr>
                  <w:r>
                    <w:t xml:space="preserve">DTCEA-FL</w:t>
                  </w:r>
                </w:p>
              </w:tc>
              <w:tc>
                <w:tcPr/>
                <w:p>
                  <w:pPr>
                    <w:pStyle w:val="Compact"/>
                    <w:jc w:val="center"/>
                    <w:jc w:val="center"/>
                  </w:pPr>
                  <w:r>
                    <w:t xml:space="preserve">FLORIPA AIRPORT</w:t>
                  </w:r>
                </w:p>
              </w:tc>
            </w:tr>
            <w:tr>
              <w:tc>
                <w:tcPr/>
                <w:p>
                  <w:pPr>
                    <w:pStyle w:val="Compact"/>
                    <w:jc w:val="center"/>
                    <w:jc w:val="center"/>
                  </w:pPr>
                  <w:r>
                    <w:t xml:space="preserve">CINDACTA II</w:t>
                  </w:r>
                </w:p>
              </w:tc>
              <w:tc>
                <w:tcPr/>
                <w:p>
                  <w:pPr>
                    <w:pStyle w:val="Compact"/>
                    <w:jc w:val="center"/>
                    <w:jc w:val="center"/>
                  </w:pPr>
                  <w:r>
                    <w:t xml:space="preserve">TWR</w:t>
                  </w:r>
                </w:p>
              </w:tc>
              <w:tc>
                <w:tcPr/>
                <w:p>
                  <w:pPr>
                    <w:pStyle w:val="Compact"/>
                    <w:jc w:val="center"/>
                    <w:jc w:val="center"/>
                  </w:pPr>
                  <w:r>
                    <w:t xml:space="preserve">SBLO</w:t>
                  </w:r>
                </w:p>
              </w:tc>
              <w:tc>
                <w:tcPr/>
                <w:p>
                  <w:pPr>
                    <w:pStyle w:val="Compact"/>
                    <w:jc w:val="center"/>
                    <w:jc w:val="center"/>
                  </w:pPr>
                  <w:r>
                    <w:t xml:space="preserve">Londrina</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CCR AEROPORTOS</w:t>
                  </w:r>
                </w:p>
              </w:tc>
            </w:tr>
            <w:tr>
              <w:tc>
                <w:tcPr/>
                <w:p>
                  <w:pPr>
                    <w:pStyle w:val="Compact"/>
                    <w:jc w:val="center"/>
                    <w:jc w:val="center"/>
                  </w:pPr>
                  <w:r>
                    <w:t xml:space="preserve">CINDACTA II</w:t>
                  </w:r>
                </w:p>
              </w:tc>
              <w:tc>
                <w:tcPr/>
                <w:p>
                  <w:pPr>
                    <w:pStyle w:val="Compact"/>
                    <w:jc w:val="center"/>
                    <w:jc w:val="center"/>
                  </w:pPr>
                  <w:r>
                    <w:t xml:space="preserve">TWR</w:t>
                  </w:r>
                </w:p>
              </w:tc>
              <w:tc>
                <w:tcPr/>
                <w:p>
                  <w:pPr>
                    <w:pStyle w:val="Compact"/>
                    <w:jc w:val="center"/>
                    <w:jc w:val="center"/>
                  </w:pPr>
                  <w:r>
                    <w:t xml:space="preserve">SBME</w:t>
                  </w:r>
                </w:p>
              </w:tc>
              <w:tc>
                <w:tcPr/>
                <w:p>
                  <w:pPr>
                    <w:pStyle w:val="Compact"/>
                    <w:jc w:val="center"/>
                    <w:jc w:val="center"/>
                  </w:pPr>
                  <w:r>
                    <w:t xml:space="preserve">Macaé</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NAV BRASIL</w:t>
                  </w:r>
                </w:p>
              </w:tc>
            </w:tr>
            <w:tr>
              <w:tc>
                <w:tcPr/>
                <w:p>
                  <w:pPr>
                    <w:pStyle w:val="Compact"/>
                    <w:jc w:val="center"/>
                    <w:jc w:val="center"/>
                  </w:pPr>
                  <w:r>
                    <w:t xml:space="preserve">CINDACTA II</w:t>
                  </w:r>
                </w:p>
              </w:tc>
              <w:tc>
                <w:tcPr/>
                <w:p>
                  <w:pPr>
                    <w:pStyle w:val="Compact"/>
                    <w:jc w:val="center"/>
                    <w:jc w:val="center"/>
                  </w:pPr>
                  <w:r>
                    <w:t xml:space="preserve">TWR</w:t>
                  </w:r>
                </w:p>
              </w:tc>
              <w:tc>
                <w:tcPr/>
                <w:p>
                  <w:pPr>
                    <w:pStyle w:val="Compact"/>
                    <w:jc w:val="center"/>
                    <w:jc w:val="center"/>
                  </w:pPr>
                  <w:r>
                    <w:t xml:space="preserve">SBMG</w:t>
                  </w:r>
                </w:p>
              </w:tc>
              <w:tc>
                <w:tcPr/>
                <w:p>
                  <w:pPr>
                    <w:pStyle w:val="Compact"/>
                    <w:jc w:val="center"/>
                    <w:jc w:val="center"/>
                  </w:pPr>
                  <w:r>
                    <w:t xml:space="preserve">Maringá</w:t>
                  </w:r>
                </w:p>
              </w:tc>
              <w:tc>
                <w:tcPr/>
                <w:p>
                  <w:pPr>
                    <w:pStyle w:val="Compact"/>
                    <w:jc w:val="center"/>
                    <w:jc w:val="center"/>
                  </w:pPr>
                  <w:r>
                    <w:t xml:space="preserve">Terminais Aéreos de Maringá - SBMG S/A</w:t>
                  </w:r>
                </w:p>
              </w:tc>
              <w:tc>
                <w:tcPr/>
                <w:p>
                  <w:pPr>
                    <w:pStyle w:val="Compact"/>
                    <w:jc w:val="center"/>
                    <w:jc w:val="center"/>
                  </w:pPr>
                  <w:r>
                    <w:t xml:space="preserve">Terminais Aéreos de Maringá - SBMG S/A - EPTA MARINGÁ</w:t>
                  </w:r>
                </w:p>
              </w:tc>
              <w:tc>
                <w:tcPr/>
                <w:p>
                  <w:pPr>
                    <w:pStyle w:val="Compact"/>
                    <w:jc w:val="center"/>
                    <w:jc w:val="center"/>
                  </w:pPr>
                  <w:r>
                    <w:t xml:space="preserve">Terminais Aéreos de Maringá - SBMG S/A - EPTA MARINGÁ</w:t>
                  </w:r>
                </w:p>
              </w:tc>
            </w:tr>
            <w:tr>
              <w:tc>
                <w:tcPr/>
                <w:p>
                  <w:pPr>
                    <w:pStyle w:val="Compact"/>
                    <w:jc w:val="center"/>
                    <w:jc w:val="center"/>
                  </w:pPr>
                  <w:r>
                    <w:t xml:space="preserve">CINDACTA II</w:t>
                  </w:r>
                </w:p>
              </w:tc>
              <w:tc>
                <w:tcPr/>
                <w:p>
                  <w:pPr>
                    <w:pStyle w:val="Compact"/>
                    <w:jc w:val="center"/>
                    <w:jc w:val="center"/>
                  </w:pPr>
                  <w:r>
                    <w:t xml:space="preserve">TWR</w:t>
                  </w:r>
                </w:p>
              </w:tc>
              <w:tc>
                <w:tcPr/>
                <w:p>
                  <w:pPr>
                    <w:pStyle w:val="Compact"/>
                    <w:jc w:val="center"/>
                    <w:jc w:val="center"/>
                  </w:pPr>
                  <w:r>
                    <w:t xml:space="preserve">SBNF</w:t>
                  </w:r>
                </w:p>
              </w:tc>
              <w:tc>
                <w:tcPr/>
                <w:p>
                  <w:pPr>
                    <w:pStyle w:val="Compact"/>
                    <w:jc w:val="center"/>
                    <w:jc w:val="center"/>
                  </w:pPr>
                  <w:r>
                    <w:t xml:space="preserve">Navegantes</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CCR AEROPORTOS</w:t>
                  </w:r>
                </w:p>
              </w:tc>
            </w:tr>
            <w:tr>
              <w:tc>
                <w:tcPr/>
                <w:p>
                  <w:pPr>
                    <w:pStyle w:val="Compact"/>
                    <w:jc w:val="center"/>
                    <w:jc w:val="center"/>
                  </w:pPr>
                  <w:r>
                    <w:t xml:space="preserve">CINDACTA II</w:t>
                  </w:r>
                </w:p>
              </w:tc>
              <w:tc>
                <w:tcPr/>
                <w:p>
                  <w:pPr>
                    <w:pStyle w:val="Compact"/>
                    <w:jc w:val="center"/>
                    <w:jc w:val="center"/>
                  </w:pPr>
                  <w:r>
                    <w:t xml:space="preserve">TWR</w:t>
                  </w:r>
                </w:p>
              </w:tc>
              <w:tc>
                <w:tcPr/>
                <w:p>
                  <w:pPr>
                    <w:pStyle w:val="Compact"/>
                    <w:jc w:val="center"/>
                    <w:jc w:val="center"/>
                  </w:pPr>
                  <w:r>
                    <w:t xml:space="preserve">SBPA</w:t>
                  </w:r>
                </w:p>
              </w:tc>
              <w:tc>
                <w:tcPr/>
                <w:p>
                  <w:pPr>
                    <w:pStyle w:val="Compact"/>
                    <w:jc w:val="center"/>
                    <w:jc w:val="center"/>
                  </w:pPr>
                  <w:r>
                    <w:t xml:space="preserve">Porto Alegre</w:t>
                  </w:r>
                </w:p>
              </w:tc>
              <w:tc>
                <w:tcPr/>
                <w:p>
                  <w:pPr>
                    <w:pStyle w:val="Compact"/>
                    <w:jc w:val="center"/>
                    <w:jc w:val="center"/>
                  </w:pPr>
                  <w:r>
                    <w:t xml:space="preserve">DTCEA-CO</w:t>
                  </w:r>
                </w:p>
              </w:tc>
              <w:tc>
                <w:tcPr/>
                <w:p>
                  <w:pPr>
                    <w:pStyle w:val="Compact"/>
                    <w:jc w:val="center"/>
                    <w:jc w:val="center"/>
                  </w:pPr>
                  <w:r>
                    <w:t xml:space="preserve">DTCEA-CO</w:t>
                  </w:r>
                </w:p>
              </w:tc>
              <w:tc>
                <w:tcPr/>
                <w:p>
                  <w:pPr>
                    <w:pStyle w:val="Compact"/>
                    <w:jc w:val="center"/>
                    <w:jc w:val="center"/>
                  </w:pPr>
                  <w:r>
                    <w:t xml:space="preserve">FRAPORT</w:t>
                  </w:r>
                </w:p>
              </w:tc>
            </w:tr>
            <w:tr>
              <w:tc>
                <w:tcPr/>
                <w:p>
                  <w:pPr>
                    <w:pStyle w:val="Compact"/>
                    <w:jc w:val="center"/>
                    <w:jc w:val="center"/>
                  </w:pPr>
                  <w:r>
                    <w:t xml:space="preserve">CINDACTA II</w:t>
                  </w:r>
                </w:p>
              </w:tc>
              <w:tc>
                <w:tcPr/>
                <w:p>
                  <w:pPr>
                    <w:pStyle w:val="Compact"/>
                    <w:jc w:val="center"/>
                    <w:jc w:val="center"/>
                  </w:pPr>
                  <w:r>
                    <w:t xml:space="preserve">TWR</w:t>
                  </w:r>
                </w:p>
              </w:tc>
              <w:tc>
                <w:tcPr/>
                <w:p>
                  <w:pPr>
                    <w:pStyle w:val="Compact"/>
                    <w:jc w:val="center"/>
                    <w:jc w:val="center"/>
                  </w:pPr>
                  <w:r>
                    <w:t xml:space="preserve">SBSM</w:t>
                  </w:r>
                </w:p>
              </w:tc>
              <w:tc>
                <w:tcPr/>
                <w:p>
                  <w:pPr>
                    <w:pStyle w:val="Compact"/>
                    <w:jc w:val="center"/>
                    <w:jc w:val="center"/>
                  </w:pPr>
                  <w:r>
                    <w:t xml:space="preserve">Santa Maria</w:t>
                  </w:r>
                </w:p>
              </w:tc>
              <w:tc>
                <w:tcPr/>
                <w:p>
                  <w:pPr>
                    <w:pStyle w:val="Compact"/>
                    <w:jc w:val="center"/>
                    <w:jc w:val="center"/>
                  </w:pPr>
                  <w:r>
                    <w:t xml:space="preserve">DTCEA-SM</w:t>
                  </w:r>
                </w:p>
              </w:tc>
              <w:tc>
                <w:tcPr/>
                <w:p>
                  <w:pPr>
                    <w:pStyle w:val="Compact"/>
                    <w:jc w:val="center"/>
                    <w:jc w:val="center"/>
                  </w:pPr>
                  <w:r>
                    <w:t xml:space="preserve">DTCEA-SM</w:t>
                  </w:r>
                </w:p>
              </w:tc>
              <w:tc>
                <w:tcPr/>
                <w:p>
                  <w:pPr>
                    <w:pStyle w:val="Compact"/>
                    <w:jc w:val="center"/>
                    <w:jc w:val="center"/>
                  </w:pPr>
                  <w:r>
                    <w:t xml:space="preserve">PREFEITURA</w:t>
                  </w:r>
                </w:p>
              </w:tc>
            </w:tr>
            <w:tr>
              <w:tc>
                <w:tcPr/>
                <w:p>
                  <w:pPr>
                    <w:pStyle w:val="Compact"/>
                    <w:jc w:val="center"/>
                    <w:jc w:val="center"/>
                  </w:pPr>
                  <w:r>
                    <w:t xml:space="preserve">CINDACTA II</w:t>
                  </w:r>
                </w:p>
              </w:tc>
              <w:tc>
                <w:tcPr/>
                <w:p>
                  <w:pPr>
                    <w:pStyle w:val="Compact"/>
                    <w:jc w:val="center"/>
                    <w:jc w:val="center"/>
                  </w:pPr>
                  <w:r>
                    <w:t xml:space="preserve">R-AFIS</w:t>
                  </w:r>
                </w:p>
              </w:tc>
              <w:tc>
                <w:tcPr/>
                <w:p>
                  <w:pPr>
                    <w:pStyle w:val="Compact"/>
                    <w:jc w:val="center"/>
                    <w:jc w:val="center"/>
                  </w:pPr>
                  <w:r>
                    <w:t xml:space="preserve">SBCR</w:t>
                  </w:r>
                </w:p>
              </w:tc>
              <w:tc>
                <w:tcPr/>
                <w:p>
                  <w:pPr>
                    <w:pStyle w:val="Compact"/>
                    <w:jc w:val="center"/>
                    <w:jc w:val="center"/>
                  </w:pPr>
                  <w:r>
                    <w:t xml:space="preserve">Corumbá</w:t>
                  </w:r>
                </w:p>
              </w:tc>
              <w:tc>
                <w:tcPr/>
                <w:p>
                  <w:pPr>
                    <w:pStyle w:val="Compact"/>
                    <w:jc w:val="center"/>
                    <w:jc w:val="center"/>
                  </w:pPr>
                  <w:r>
                    <w:t xml:space="preserve">DTCEA-CR</w:t>
                  </w:r>
                </w:p>
              </w:tc>
              <w:tc>
                <w:tcPr/>
                <w:p>
                  <w:pPr>
                    <w:pStyle w:val="Compact"/>
                    <w:jc w:val="center"/>
                    <w:jc w:val="center"/>
                  </w:pPr>
                  <w:r>
                    <w:t xml:space="preserve">DTCEA-CR</w:t>
                  </w:r>
                </w:p>
              </w:tc>
              <w:tc>
                <w:tcPr/>
                <w:p>
                  <w:pPr>
                    <w:pStyle w:val="Compact"/>
                    <w:jc w:val="center"/>
                    <w:jc w:val="center"/>
                  </w:pPr>
                  <w:r>
                    <w:t xml:space="preserve">AENA</w:t>
                  </w:r>
                </w:p>
              </w:tc>
            </w:tr>
            <w:tr>
              <w:tc>
                <w:tcPr/>
                <w:p>
                  <w:pPr>
                    <w:pStyle w:val="Compact"/>
                    <w:jc w:val="center"/>
                    <w:jc w:val="center"/>
                  </w:pPr>
                  <w:r>
                    <w:t xml:space="preserve">CINDACTA II</w:t>
                  </w:r>
                </w:p>
              </w:tc>
              <w:tc>
                <w:tcPr/>
                <w:p>
                  <w:pPr>
                    <w:pStyle w:val="Compact"/>
                    <w:jc w:val="center"/>
                    <w:jc w:val="center"/>
                  </w:pPr>
                  <w:r>
                    <w:t xml:space="preserve">R-AFIS</w:t>
                  </w:r>
                </w:p>
              </w:tc>
              <w:tc>
                <w:tcPr/>
                <w:p>
                  <w:pPr>
                    <w:pStyle w:val="Compact"/>
                    <w:jc w:val="center"/>
                    <w:jc w:val="center"/>
                  </w:pPr>
                  <w:r>
                    <w:t xml:space="preserve">SBUG</w:t>
                  </w:r>
                </w:p>
              </w:tc>
              <w:tc>
                <w:tcPr/>
                <w:p>
                  <w:pPr>
                    <w:pStyle w:val="Compact"/>
                    <w:jc w:val="center"/>
                    <w:jc w:val="center"/>
                  </w:pPr>
                  <w:r>
                    <w:t xml:space="preserve">Uruguaiana</w:t>
                  </w:r>
                </w:p>
              </w:tc>
              <w:tc>
                <w:tcPr/>
                <w:p>
                  <w:pPr>
                    <w:pStyle w:val="Compact"/>
                    <w:jc w:val="center"/>
                    <w:jc w:val="center"/>
                  </w:pPr>
                  <w:r>
                    <w:t xml:space="preserve">DTCEA-UG</w:t>
                  </w:r>
                </w:p>
              </w:tc>
              <w:tc>
                <w:tcPr/>
                <w:p>
                  <w:pPr>
                    <w:pStyle w:val="Compact"/>
                    <w:jc w:val="center"/>
                    <w:jc w:val="center"/>
                  </w:pPr>
                  <w:r>
                    <w:t xml:space="preserve">DTCEA-UG</w:t>
                  </w:r>
                </w:p>
              </w:tc>
              <w:tc>
                <w:tcPr/>
                <w:p>
                  <w:pPr>
                    <w:pStyle w:val="Compact"/>
                    <w:jc w:val="center"/>
                    <w:jc w:val="center"/>
                  </w:pPr>
                  <w:r>
                    <w:t xml:space="preserve">CCR AEROPORTOS</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SBBG</w:t>
                  </w:r>
                </w:p>
              </w:tc>
              <w:tc>
                <w:tcPr/>
                <w:p>
                  <w:pPr>
                    <w:pStyle w:val="Compact"/>
                    <w:jc w:val="center"/>
                    <w:jc w:val="center"/>
                  </w:pPr>
                  <w:r>
                    <w:t xml:space="preserve">Bagé</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CCR AEROPORTOS</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SBCA</w:t>
                  </w:r>
                </w:p>
              </w:tc>
              <w:tc>
                <w:tcPr/>
                <w:p>
                  <w:pPr>
                    <w:pStyle w:val="Compact"/>
                    <w:jc w:val="center"/>
                    <w:jc w:val="center"/>
                  </w:pPr>
                  <w:r>
                    <w:t xml:space="preserve">Cascavél</w:t>
                  </w:r>
                </w:p>
              </w:tc>
              <w:tc>
                <w:tcPr/>
                <w:p>
                  <w:pPr>
                    <w:pStyle w:val="Compact"/>
                    <w:jc w:val="center"/>
                    <w:jc w:val="center"/>
                  </w:pPr>
                  <w:r>
                    <w:t xml:space="preserve">MVS Incorporações Imobiliárias Ltda.</w:t>
                  </w:r>
                </w:p>
              </w:tc>
              <w:tc>
                <w:tcPr/>
                <w:p>
                  <w:pPr>
                    <w:pStyle w:val="Compact"/>
                    <w:jc w:val="center"/>
                    <w:jc w:val="center"/>
                  </w:pPr>
                  <w:r>
                    <w:t xml:space="preserve">MVS Incorporações Imobiliárias Ltda - EPTA CASCAVEL</w:t>
                  </w:r>
                </w:p>
              </w:tc>
              <w:tc>
                <w:tcPr/>
                <w:p>
                  <w:pPr>
                    <w:pStyle w:val="Compact"/>
                    <w:jc w:val="center"/>
                    <w:jc w:val="center"/>
                  </w:pPr>
                  <w:r>
                    <w:t xml:space="preserve">TRANSITAR</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SBCH</w:t>
                  </w:r>
                </w:p>
              </w:tc>
              <w:tc>
                <w:tcPr/>
                <w:p>
                  <w:pPr>
                    <w:pStyle w:val="Compact"/>
                    <w:jc w:val="center"/>
                    <w:jc w:val="center"/>
                  </w:pPr>
                  <w:r>
                    <w:t xml:space="preserve">Chapecó</w:t>
                  </w:r>
                </w:p>
              </w:tc>
              <w:tc>
                <w:tcPr/>
                <w:p>
                  <w:pPr>
                    <w:pStyle w:val="Compact"/>
                    <w:jc w:val="center"/>
                    <w:jc w:val="center"/>
                  </w:pPr>
                  <w:r>
                    <w:t xml:space="preserve">GUIAR Serviços Auxiliares de Transportes Aéreos Ltda.</w:t>
                  </w:r>
                </w:p>
              </w:tc>
              <w:tc>
                <w:tcPr/>
                <w:p>
                  <w:pPr>
                    <w:pStyle w:val="Compact"/>
                    <w:jc w:val="center"/>
                    <w:jc w:val="center"/>
                  </w:pPr>
                  <w:r>
                    <w:t xml:space="preserve">GUIAR Serviços Auxiliares de Transportes Aéreos Ltda - EPTA CHAPECÓ</w:t>
                  </w:r>
                </w:p>
              </w:tc>
              <w:tc>
                <w:tcPr/>
                <w:p>
                  <w:pPr>
                    <w:pStyle w:val="Compact"/>
                    <w:jc w:val="center"/>
                    <w:jc w:val="center"/>
                  </w:pPr>
                  <w:r>
                    <w:t xml:space="preserve">Voe XAP</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SBCP</w:t>
                  </w:r>
                </w:p>
              </w:tc>
              <w:tc>
                <w:tcPr/>
                <w:p>
                  <w:pPr>
                    <w:pStyle w:val="Compact"/>
                    <w:jc w:val="center"/>
                    <w:jc w:val="center"/>
                  </w:pPr>
                  <w:r>
                    <w:t xml:space="preserve">Campos dos Goytacazes</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INFRA OPERAÇÕES AEROPORTUÁRIAS</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SBCX</w:t>
                  </w:r>
                </w:p>
              </w:tc>
              <w:tc>
                <w:tcPr/>
                <w:p>
                  <w:pPr>
                    <w:pStyle w:val="Compact"/>
                    <w:jc w:val="center"/>
                    <w:jc w:val="center"/>
                  </w:pPr>
                  <w:r>
                    <w:t xml:space="preserve">Caxias do Sul</w:t>
                  </w:r>
                </w:p>
              </w:tc>
              <w:tc>
                <w:tcPr/>
                <w:p>
                  <w:pPr>
                    <w:pStyle w:val="Compact"/>
                    <w:jc w:val="center"/>
                    <w:jc w:val="center"/>
                  </w:pPr>
                  <w:r>
                    <w:t xml:space="preserve">FLEX Linhas Aéreas S/A2ul(de 6ww1uqywywjtww:</w:t>
                  </w:r>
                </w:p>
              </w:tc>
              <w:tc>
                <w:tcPr/>
                <w:p>
                  <w:pPr>
                    <w:pStyle w:val="Compact"/>
                    <w:jc w:val="center"/>
                    <w:jc w:val="center"/>
                  </w:pPr>
                  <w:r>
                    <w:t xml:space="preserve">FLEX Linhas Aéreas S/A - EPTA CAXIAS DO SUL</w:t>
                  </w:r>
                </w:p>
              </w:tc>
              <w:tc>
                <w:tcPr/>
                <w:p>
                  <w:pPr>
                    <w:pStyle w:val="Compact"/>
                    <w:jc w:val="center"/>
                    <w:jc w:val="center"/>
                  </w:pPr>
                  <w:r>
                    <w:t xml:space="preserve">DAP-RS</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SBDB</w:t>
                  </w:r>
                </w:p>
              </w:tc>
              <w:tc>
                <w:tcPr/>
                <w:p>
                  <w:pPr>
                    <w:pStyle w:val="Compact"/>
                    <w:jc w:val="center"/>
                    <w:jc w:val="center"/>
                  </w:pPr>
                  <w:r>
                    <w:t xml:space="preserve">Bonito</w:t>
                  </w:r>
                </w:p>
              </w:tc>
              <w:tc>
                <w:tcPr/>
                <w:p>
                  <w:pPr>
                    <w:pStyle w:val="Compact"/>
                    <w:jc w:val="center"/>
                    <w:jc w:val="center"/>
                  </w:pPr>
                  <w:r>
                    <w:t xml:space="preserve">SEINFRA - Secretaria de Estado de Infraestrutura do Mato Grosso do Sul</w:t>
                  </w:r>
                </w:p>
              </w:tc>
              <w:tc>
                <w:tcPr/>
                <w:p>
                  <w:pPr>
                    <w:pStyle w:val="Compact"/>
                    <w:jc w:val="center"/>
                    <w:jc w:val="center"/>
                  </w:pPr>
                  <w:r>
                    <w:t xml:space="preserve">SEINFRA - Secretaria de Estado de Infraestrutura do Mato Grosso do Sul - EPTA BONITO</w:t>
                  </w:r>
                </w:p>
              </w:tc>
              <w:tc>
                <w:tcPr/>
                <w:p>
                  <w:pPr>
                    <w:pStyle w:val="Compact"/>
                    <w:jc w:val="center"/>
                    <w:jc w:val="center"/>
                  </w:pPr>
                  <w:r>
                    <w:t xml:space="preserve">GOVERNO DO ESTADO</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SBFS</w:t>
                  </w:r>
                </w:p>
              </w:tc>
              <w:tc>
                <w:tcPr/>
                <w:p>
                  <w:pPr>
                    <w:pStyle w:val="Compact"/>
                    <w:jc w:val="center"/>
                    <w:jc w:val="center"/>
                  </w:pPr>
                  <w:r>
                    <w:t xml:space="preserve">Farol de São Tomé</w:t>
                  </w:r>
                </w:p>
              </w:tc>
              <w:tc>
                <w:tcPr/>
                <w:p>
                  <w:pPr>
                    <w:pStyle w:val="Compact"/>
                    <w:jc w:val="center"/>
                    <w:jc w:val="center"/>
                  </w:pPr>
                  <w:r>
                    <w:t xml:space="preserve">INFRA Operações Aeroportuárias Farol de São Tomé S/A</w:t>
                  </w:r>
                </w:p>
              </w:tc>
              <w:tc>
                <w:tcPr/>
                <w:p>
                  <w:pPr>
                    <w:pStyle w:val="Compact"/>
                    <w:jc w:val="center"/>
                    <w:jc w:val="center"/>
                  </w:pPr>
                  <w:r>
                    <w:t xml:space="preserve">AMD Estações de Telecomunicações e de Tráfego Aéreo LTDA - EPTA CAMPOS</w:t>
                  </w:r>
                </w:p>
              </w:tc>
              <w:tc>
                <w:tcPr/>
                <w:p>
                  <w:pPr>
                    <w:pStyle w:val="Compact"/>
                    <w:jc w:val="center"/>
                    <w:jc w:val="center"/>
                  </w:pPr>
                  <w:r>
                    <w:t xml:space="preserve">INFRA OPERAÇÕES AEROPORTUÁRIAS</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SBJA</w:t>
                  </w:r>
                </w:p>
              </w:tc>
              <w:tc>
                <w:tcPr/>
                <w:p>
                  <w:pPr>
                    <w:pStyle w:val="Compact"/>
                    <w:jc w:val="center"/>
                    <w:jc w:val="center"/>
                  </w:pPr>
                  <w:r>
                    <w:t xml:space="preserve">Jaguaruna</w:t>
                  </w:r>
                </w:p>
              </w:tc>
              <w:tc>
                <w:tcPr/>
                <w:p>
                  <w:pPr>
                    <w:pStyle w:val="Compact"/>
                    <w:jc w:val="center"/>
                    <w:jc w:val="center"/>
                  </w:pPr>
                  <w:r>
                    <w:t xml:space="preserve">Secretaria de Infraestrutura do Estado de Santa Catarina</w:t>
                  </w:r>
                </w:p>
              </w:tc>
              <w:tc>
                <w:tcPr/>
                <w:p>
                  <w:pPr>
                    <w:pStyle w:val="Compact"/>
                    <w:jc w:val="center"/>
                    <w:jc w:val="center"/>
                  </w:pPr>
                  <w:r>
                    <w:t xml:space="preserve">ATS Telecomunicações Ltda - EPTA JAGUARUNA</w:t>
                  </w:r>
                </w:p>
              </w:tc>
              <w:tc>
                <w:tcPr/>
                <w:p>
                  <w:pPr>
                    <w:pStyle w:val="Compact"/>
                    <w:jc w:val="center"/>
                    <w:jc w:val="center"/>
                  </w:pPr>
                  <w:r>
                    <w:t xml:space="preserve">RDL Aeroportos</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SBNM</w:t>
                  </w:r>
                </w:p>
              </w:tc>
              <w:tc>
                <w:tcPr/>
                <w:p>
                  <w:pPr>
                    <w:pStyle w:val="Compact"/>
                    <w:jc w:val="center"/>
                    <w:jc w:val="center"/>
                  </w:pPr>
                  <w:r>
                    <w:t xml:space="preserve">Santo Ângelo</w:t>
                  </w:r>
                </w:p>
              </w:tc>
              <w:tc>
                <w:tcPr/>
                <w:p>
                  <w:pPr>
                    <w:pStyle w:val="Compact"/>
                    <w:jc w:val="center"/>
                    <w:jc w:val="center"/>
                  </w:pPr>
                  <w:r>
                    <w:t xml:space="preserve">Paula Gabriela Dalla Porta</w:t>
                  </w:r>
                </w:p>
              </w:tc>
              <w:tc>
                <w:tcPr/>
                <w:p>
                  <w:pPr>
                    <w:pStyle w:val="Compact"/>
                    <w:jc w:val="center"/>
                    <w:jc w:val="center"/>
                  </w:pPr>
                  <w:r>
                    <w:t xml:space="preserve">Paula Gabriela Dalla Porta - EPTA SANTO ÂNGELO</w:t>
                  </w:r>
                </w:p>
              </w:tc>
              <w:tc>
                <w:tcPr/>
                <w:p>
                  <w:pPr>
                    <w:pStyle w:val="Compact"/>
                    <w:jc w:val="center"/>
                    <w:jc w:val="center"/>
                  </w:pPr>
                  <w:r>
                    <w:t xml:space="preserve">DAP-RS</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SBPF</w:t>
                  </w:r>
                </w:p>
              </w:tc>
              <w:tc>
                <w:tcPr/>
                <w:p>
                  <w:pPr>
                    <w:pStyle w:val="Compact"/>
                    <w:jc w:val="center"/>
                    <w:jc w:val="center"/>
                  </w:pPr>
                  <w:r>
                    <w:t xml:space="preserve">Passo Fundo</w:t>
                  </w:r>
                </w:p>
              </w:tc>
              <w:tc>
                <w:tcPr/>
                <w:p>
                  <w:pPr>
                    <w:pStyle w:val="Compact"/>
                    <w:jc w:val="center"/>
                    <w:jc w:val="center"/>
                  </w:pPr>
                  <w:r>
                    <w:t xml:space="preserve">MVS Incorporações Imobiliárias Ltda.</w:t>
                  </w:r>
                </w:p>
              </w:tc>
              <w:tc>
                <w:tcPr/>
                <w:p>
                  <w:pPr>
                    <w:pStyle w:val="Compact"/>
                    <w:jc w:val="center"/>
                    <w:jc w:val="center"/>
                  </w:pPr>
                  <w:r>
                    <w:t xml:space="preserve">MVS Incorporações Imobiliárias Ltda - EPTA PASSO FUNDO</w:t>
                  </w:r>
                </w:p>
              </w:tc>
              <w:tc>
                <w:tcPr/>
                <w:p>
                  <w:pPr>
                    <w:pStyle w:val="Compact"/>
                    <w:jc w:val="center"/>
                    <w:jc w:val="center"/>
                  </w:pPr>
                  <w:r>
                    <w:t xml:space="preserve">INFRAERO</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SBPG</w:t>
                  </w:r>
                </w:p>
              </w:tc>
              <w:tc>
                <w:tcPr/>
                <w:p>
                  <w:pPr>
                    <w:pStyle w:val="Compact"/>
                    <w:jc w:val="center"/>
                    <w:jc w:val="center"/>
                  </w:pPr>
                  <w:r>
                    <w:t xml:space="preserve">Ponta grossa</w:t>
                  </w:r>
                </w:p>
              </w:tc>
              <w:tc>
                <w:tcPr/>
                <w:p>
                  <w:pPr>
                    <w:pStyle w:val="Compact"/>
                    <w:jc w:val="center"/>
                    <w:jc w:val="center"/>
                  </w:pPr>
                  <w:r>
                    <w:t xml:space="preserve">Prefeitura Municipal de Ponta Grossa</w:t>
                  </w:r>
                </w:p>
              </w:tc>
              <w:tc>
                <w:tcPr/>
                <w:p>
                  <w:pPr>
                    <w:pStyle w:val="Compact"/>
                    <w:jc w:val="center"/>
                    <w:jc w:val="center"/>
                  </w:pPr>
                  <w:r>
                    <w:t xml:space="preserve">BETEL Serviços Auxiliares de Transportes Aéreos Ltda - EPTA PONTA GROSSA</w:t>
                  </w:r>
                </w:p>
              </w:tc>
              <w:tc>
                <w:tcPr/>
                <w:p>
                  <w:pPr>
                    <w:pStyle w:val="Compact"/>
                    <w:jc w:val="center"/>
                    <w:jc w:val="center"/>
                  </w:pPr>
                  <w:r>
                    <w:t xml:space="preserve">PREFEITURA</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SBPK</w:t>
                  </w:r>
                </w:p>
              </w:tc>
              <w:tc>
                <w:tcPr/>
                <w:p>
                  <w:pPr>
                    <w:pStyle w:val="Compact"/>
                    <w:jc w:val="center"/>
                    <w:jc w:val="center"/>
                  </w:pPr>
                  <w:r>
                    <w:t xml:space="preserve">Pelotas</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CCR AEROPORTOS</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SBPO</w:t>
                  </w:r>
                </w:p>
              </w:tc>
              <w:tc>
                <w:tcPr/>
                <w:p>
                  <w:pPr>
                    <w:pStyle w:val="Compact"/>
                    <w:jc w:val="center"/>
                    <w:jc w:val="center"/>
                  </w:pPr>
                  <w:r>
                    <w:t xml:space="preserve">Pato Branco</w:t>
                  </w:r>
                </w:p>
              </w:tc>
              <w:tc>
                <w:tcPr/>
                <w:p>
                  <w:pPr>
                    <w:pStyle w:val="Compact"/>
                    <w:jc w:val="center"/>
                    <w:jc w:val="center"/>
                  </w:pPr>
                  <w:r>
                    <w:t xml:space="preserve">PREFEITURA MUNICIPAL DE PATO BRANCO</w:t>
                  </w:r>
                </w:p>
              </w:tc>
              <w:tc>
                <w:tcPr/>
                <w:p>
                  <w:pPr>
                    <w:pStyle w:val="Compact"/>
                    <w:jc w:val="center"/>
                    <w:jc w:val="center"/>
                  </w:pPr>
                  <w:r>
                    <w:t xml:space="preserve">PAIM Telecomunicações e Controle de Tráfego Aéreo - EPTA PATO BRANCO</w:t>
                  </w:r>
                </w:p>
              </w:tc>
              <w:tc>
                <w:tcPr/>
                <w:p>
                  <w:pPr>
                    <w:pStyle w:val="Compact"/>
                    <w:jc w:val="center"/>
                    <w:jc w:val="center"/>
                  </w:pPr>
                  <w:r>
                    <w:t xml:space="preserve">PREFEITURA</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SBPP</w:t>
                  </w:r>
                </w:p>
              </w:tc>
              <w:tc>
                <w:tcPr/>
                <w:p>
                  <w:pPr>
                    <w:pStyle w:val="Compact"/>
                    <w:jc w:val="center"/>
                    <w:jc w:val="center"/>
                  </w:pPr>
                  <w:r>
                    <w:t xml:space="preserve">Ponta Porã</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INFRAERO</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SBPW</w:t>
                  </w:r>
                </w:p>
              </w:tc>
              <w:tc>
                <w:tcPr/>
                <w:p>
                  <w:pPr>
                    <w:pStyle w:val="Compact"/>
                    <w:jc w:val="center"/>
                    <w:jc w:val="center"/>
                  </w:pPr>
                  <w:r>
                    <w:t xml:space="preserve">Porto do açu</w:t>
                  </w:r>
                </w:p>
              </w:tc>
              <w:tc>
                <w:tcPr/>
                <w:p>
                  <w:pPr>
                    <w:pStyle w:val="Compact"/>
                    <w:jc w:val="center"/>
                    <w:jc w:val="center"/>
                  </w:pPr>
                  <w:r>
                    <w:t xml:space="preserve">AEROPART Participações Aeroportuárias S.A.</w:t>
                  </w:r>
                </w:p>
              </w:tc>
              <w:tc>
                <w:tcPr/>
                <w:p>
                  <w:pPr>
                    <w:pStyle w:val="Compact"/>
                    <w:jc w:val="center"/>
                    <w:jc w:val="center"/>
                  </w:pPr>
                  <w:r>
                    <w:t xml:space="preserve">AMD Estações de Telecomunicações e de Tráfego Aéreo Ltda - EPTA SÃO JOÃO DA BARRA</w:t>
                  </w:r>
                </w:p>
              </w:tc>
              <w:tc>
                <w:tcPr/>
                <w:p>
                  <w:pPr>
                    <w:pStyle w:val="Compact"/>
                    <w:jc w:val="center"/>
                    <w:jc w:val="center"/>
                  </w:pPr>
                  <w:r>
                    <w:t xml:space="preserve">PORTO DO AÇU</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SBTG</w:t>
                  </w:r>
                </w:p>
              </w:tc>
              <w:tc>
                <w:tcPr/>
                <w:p>
                  <w:pPr>
                    <w:pStyle w:val="Compact"/>
                    <w:jc w:val="center"/>
                    <w:jc w:val="center"/>
                  </w:pPr>
                  <w:r>
                    <w:t xml:space="preserve">Três Lagoas</w:t>
                  </w:r>
                </w:p>
              </w:tc>
              <w:tc>
                <w:tcPr/>
                <w:p>
                  <w:pPr>
                    <w:pStyle w:val="Compact"/>
                    <w:jc w:val="center"/>
                    <w:jc w:val="center"/>
                  </w:pPr>
                  <w:r>
                    <w:t xml:space="preserve">Prefeitura Municipal de Três Lagoas</w:t>
                  </w:r>
                </w:p>
              </w:tc>
              <w:tc>
                <w:tcPr/>
                <w:p>
                  <w:pPr>
                    <w:pStyle w:val="Compact"/>
                    <w:jc w:val="center"/>
                    <w:jc w:val="center"/>
                  </w:pPr>
                  <w:r>
                    <w:t xml:space="preserve">MVS Incorporações Imobiliárias Ltda - EPTA TRÊS LAGOAS</w:t>
                  </w:r>
                </w:p>
              </w:tc>
              <w:tc>
                <w:tcPr/>
                <w:p>
                  <w:pPr>
                    <w:pStyle w:val="Compact"/>
                    <w:jc w:val="center"/>
                    <w:jc w:val="center"/>
                  </w:pPr>
                  <w:r>
                    <w:t xml:space="preserve">PREFEITURA</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SBZM</w:t>
                  </w:r>
                </w:p>
              </w:tc>
              <w:tc>
                <w:tcPr/>
                <w:p>
                  <w:pPr>
                    <w:pStyle w:val="Compact"/>
                    <w:jc w:val="center"/>
                    <w:jc w:val="center"/>
                  </w:pPr>
                  <w:r>
                    <w:t xml:space="preserve">Goianá - Zona da Mata</w:t>
                  </w:r>
                </w:p>
              </w:tc>
              <w:tc>
                <w:tcPr/>
                <w:p>
                  <w:pPr>
                    <w:pStyle w:val="Compact"/>
                    <w:jc w:val="center"/>
                    <w:jc w:val="center"/>
                  </w:pPr>
                  <w:r>
                    <w:t xml:space="preserve">SPE Concessionária do Aeroporto de Zona da Mata S.A.</w:t>
                  </w:r>
                </w:p>
              </w:tc>
              <w:tc>
                <w:tcPr/>
                <w:p>
                  <w:pPr>
                    <w:pStyle w:val="Compact"/>
                    <w:jc w:val="center"/>
                    <w:jc w:val="center"/>
                  </w:pPr>
                  <w:r>
                    <w:t xml:space="preserve">SOCICAM - Administração, Projetos e Representações LTDA - EPTA GOIANÁ</w:t>
                  </w:r>
                </w:p>
              </w:tc>
              <w:tc>
                <w:tcPr/>
                <w:p>
                  <w:pPr>
                    <w:pStyle w:val="Compact"/>
                    <w:jc w:val="center"/>
                    <w:jc w:val="center"/>
                  </w:pPr>
                  <w:r>
                    <w:t xml:space="preserve">SOCICAM</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SNCP</w:t>
                  </w:r>
                </w:p>
              </w:tc>
              <w:tc>
                <w:tcPr/>
                <w:p>
                  <w:pPr>
                    <w:pStyle w:val="Compact"/>
                    <w:jc w:val="center"/>
                    <w:jc w:val="center"/>
                  </w:pPr>
                  <w:r>
                    <w:t xml:space="preserve">Planalto Serrano</w:t>
                  </w:r>
                </w:p>
              </w:tc>
              <w:tc>
                <w:tcPr/>
                <w:p>
                  <w:pPr>
                    <w:pStyle w:val="Compact"/>
                    <w:jc w:val="center"/>
                    <w:jc w:val="center"/>
                  </w:pPr>
                  <w:r>
                    <w:t xml:space="preserve">INFRACEA</w:t>
                  </w:r>
                </w:p>
              </w:tc>
              <w:tc>
                <w:tcPr/>
                <w:p>
                  <w:pPr>
                    <w:pStyle w:val="Compact"/>
                    <w:jc w:val="center"/>
                    <w:jc w:val="center"/>
                  </w:pPr>
                  <w:r>
                    <w:t xml:space="preserve">INFRACEA - EPTA CORREIA PINTO</w:t>
                  </w:r>
                </w:p>
              </w:tc>
              <w:tc>
                <w:tcPr/>
                <w:p>
                  <w:pPr>
                    <w:pStyle w:val="Compact"/>
                    <w:jc w:val="center"/>
                    <w:jc w:val="center"/>
                  </w:pPr>
                  <w:r>
                    <w:t xml:space="preserve">INFRACEA</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SSGG</w:t>
                  </w:r>
                </w:p>
              </w:tc>
              <w:tc>
                <w:tcPr/>
                <w:p>
                  <w:pPr>
                    <w:pStyle w:val="Compact"/>
                    <w:jc w:val="center"/>
                    <w:jc w:val="center"/>
                  </w:pPr>
                  <w:r>
                    <w:t xml:space="preserve">Guarapuava</w:t>
                  </w:r>
                </w:p>
              </w:tc>
              <w:tc>
                <w:tcPr/>
                <w:p>
                  <w:pPr>
                    <w:pStyle w:val="Compact"/>
                    <w:jc w:val="center"/>
                    <w:jc w:val="center"/>
                  </w:pPr>
                  <w:r>
                    <w:t xml:space="preserve">Prefeitura de Guarapuava - PR</w:t>
                  </w:r>
                </w:p>
              </w:tc>
              <w:tc>
                <w:tcPr/>
                <w:p>
                  <w:pPr>
                    <w:pStyle w:val="Compact"/>
                    <w:jc w:val="center"/>
                    <w:jc w:val="center"/>
                  </w:pPr>
                  <w:r>
                    <w:t xml:space="preserve">AMD Estações de Telecomunicações e de Tráfego Aéreo Ltda - EPTA GUARAPUAVA</w:t>
                  </w:r>
                </w:p>
              </w:tc>
              <w:tc>
                <w:tcPr/>
                <w:p>
                  <w:pPr>
                    <w:pStyle w:val="Compact"/>
                    <w:jc w:val="center"/>
                    <w:jc w:val="center"/>
                  </w:pPr>
                  <w:r>
                    <w:t xml:space="preserve">PREFEITURA</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SBJV</w:t>
                  </w:r>
                </w:p>
              </w:tc>
              <w:tc>
                <w:tcPr/>
                <w:p>
                  <w:pPr>
                    <w:pStyle w:val="Compact"/>
                    <w:jc w:val="center"/>
                    <w:jc w:val="center"/>
                  </w:pPr>
                  <w:r>
                    <w:t xml:space="preserve">Joinville</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CCR AEROPORTOS</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SSVL</w:t>
                  </w:r>
                </w:p>
              </w:tc>
              <w:tc>
                <w:tcPr/>
                <w:p>
                  <w:pPr>
                    <w:pStyle w:val="Compact"/>
                    <w:jc w:val="center"/>
                    <w:jc w:val="center"/>
                  </w:pPr>
                  <w:r>
                    <w:t xml:space="preserve">Telêmaco Borba</w:t>
                  </w:r>
                </w:p>
              </w:tc>
              <w:tc>
                <w:tcPr/>
                <w:p>
                  <w:pPr>
                    <w:pStyle w:val="Compact"/>
                    <w:jc w:val="center"/>
                    <w:jc w:val="center"/>
                  </w:pPr>
                  <w:r>
                    <w:t xml:space="preserve">NA</w:t>
                  </w:r>
                </w:p>
              </w:tc>
              <w:tc>
                <w:tcPr/>
                <w:p>
                  <w:pPr>
                    <w:pStyle w:val="Compact"/>
                    <w:jc w:val="center"/>
                    <w:jc w:val="center"/>
                  </w:pPr>
                  <w:r>
                    <w:t xml:space="preserve">NA</w:t>
                  </w:r>
                </w:p>
              </w:tc>
              <w:tc>
                <w:tcPr/>
                <w:p>
                  <w:pPr>
                    <w:pStyle w:val="Compact"/>
                    <w:jc w:val="center"/>
                    <w:jc w:val="center"/>
                  </w:pPr>
                  <w:r>
                    <w:t xml:space="preserve">TELEMACO BORBA</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SBDO</w:t>
                  </w:r>
                </w:p>
              </w:tc>
              <w:tc>
                <w:tcPr/>
                <w:p>
                  <w:pPr>
                    <w:pStyle w:val="Compact"/>
                    <w:jc w:val="center"/>
                    <w:jc w:val="center"/>
                  </w:pPr>
                  <w:r>
                    <w:t xml:space="preserve">Dourados</w:t>
                  </w:r>
                </w:p>
              </w:tc>
              <w:tc>
                <w:tcPr/>
                <w:p>
                  <w:pPr>
                    <w:pStyle w:val="Compact"/>
                    <w:jc w:val="center"/>
                    <w:jc w:val="center"/>
                  </w:pPr>
                  <w:r>
                    <w:t xml:space="preserve">NA</w:t>
                  </w:r>
                </w:p>
              </w:tc>
              <w:tc>
                <w:tcPr/>
                <w:p>
                  <w:pPr>
                    <w:pStyle w:val="Compact"/>
                    <w:jc w:val="center"/>
                    <w:jc w:val="center"/>
                  </w:pPr>
                  <w:r>
                    <w:t xml:space="preserve">DNB</w:t>
                  </w:r>
                </w:p>
              </w:tc>
              <w:tc>
                <w:tcPr/>
                <w:p>
                  <w:pPr>
                    <w:pStyle w:val="Compact"/>
                    <w:jc w:val="center"/>
                    <w:jc w:val="center"/>
                  </w:pPr>
                  <w:r>
                    <w:t xml:space="preserve">PREFEITURA</w:t>
                  </w:r>
                </w:p>
              </w:tc>
            </w:tr>
            <w:tr>
              <w:tc>
                <w:tcPr/>
                <w:p>
                  <w:pPr>
                    <w:pStyle w:val="Compact"/>
                    <w:jc w:val="center"/>
                    <w:jc w:val="center"/>
                  </w:pPr>
                  <w:r>
                    <w:t xml:space="preserve">CINDACTA II</w:t>
                  </w:r>
                </w:p>
              </w:tc>
              <w:tc>
                <w:tcPr/>
                <w:p>
                  <w:pPr>
                    <w:pStyle w:val="Compact"/>
                    <w:jc w:val="center"/>
                    <w:jc w:val="center"/>
                  </w:pPr>
                  <w:r>
                    <w:t xml:space="preserve">AFIS</w:t>
                  </w:r>
                </w:p>
              </w:tc>
              <w:tc>
                <w:tcPr/>
                <w:p>
                  <w:pPr>
                    <w:pStyle w:val="Compact"/>
                    <w:jc w:val="center"/>
                    <w:jc w:val="center"/>
                  </w:pPr>
                  <w:r>
                    <w:t xml:space="preserve">SBTD</w:t>
                  </w:r>
                </w:p>
              </w:tc>
              <w:tc>
                <w:tcPr/>
                <w:p>
                  <w:pPr>
                    <w:pStyle w:val="Compact"/>
                    <w:jc w:val="center"/>
                    <w:jc w:val="center"/>
                  </w:pPr>
                  <w:r>
                    <w:t xml:space="preserve">Toledo</w:t>
                  </w:r>
                </w:p>
              </w:tc>
              <w:tc>
                <w:tcPr/>
                <w:p>
                  <w:pPr>
                    <w:pStyle w:val="Compact"/>
                    <w:jc w:val="center"/>
                    <w:jc w:val="center"/>
                  </w:pPr>
                  <w:r>
                    <w:t xml:space="preserve">NA</w:t>
                  </w:r>
                </w:p>
              </w:tc>
              <w:tc>
                <w:tcPr/>
                <w:p>
                  <w:pPr>
                    <w:pStyle w:val="Compact"/>
                    <w:jc w:val="center"/>
                    <w:jc w:val="center"/>
                  </w:pPr>
                  <w:r>
                    <w:t xml:space="preserve">NA</w:t>
                  </w:r>
                </w:p>
              </w:tc>
              <w:tc>
                <w:tcPr/>
                <w:p>
                  <w:pPr>
                    <w:pStyle w:val="Compact"/>
                    <w:jc w:val="center"/>
                    <w:jc w:val="center"/>
                  </w:pPr>
                  <w:r>
                    <w:t xml:space="preserve">PREFEITURA</w:t>
                  </w:r>
                </w:p>
              </w:tc>
            </w:tr>
          </w:tbl>
          <w:bookmarkEnd w:id="497"/>
          <w:p/>
        </w:tc>
      </w:tr>
    </w:tbl>
    <w:p>
      <w:pPr>
        <w:pStyle w:val="Corpodetexto"/>
      </w:pPr>
      <w:r>
        <w:rPr>
          <w:b/>
          <w:bCs/>
        </w:rPr>
        <w:t xml:space="preserve">CINDACTA III</w:t>
      </w:r>
    </w:p>
    <w:p>
      <w:pPr>
        <w:pStyle w:val="Corpodetexto"/>
      </w:pPr>
      <w:r>
        <w:t xml:space="preserve">O CINDACTA III é composto por 2 ACC, 11 APP, 12 TWR, 13 AFIS e 1 R-AFIS. Em determinados horários, alguns APP operam como AFIS, conforme especificado na</w:t>
      </w:r>
      <w:r>
        <w:t xml:space="preserve"> </w:t>
      </w:r>
      <w:hyperlink w:anchor="tbl-quadro-cindacta3">
        <w:r>
          <w:rPr>
            <w:rStyle w:val="Hyperlink"/>
          </w:rPr>
          <w:t xml:space="preserve">Tabela 5.3</w:t>
        </w:r>
      </w:hyperlink>
      <w:r>
        <w:t xml:space="preserve"> </w:t>
      </w:r>
      <w:r>
        <w:t xml:space="preserve">abaixo:</w:t>
      </w:r>
    </w:p>
    <w:tbl>
      <w:tblPr>
        <w:tblStyle w:val="Table"/>
        <w:tblW w:type="pct" w:w="5000"/>
        <w:tblLayout w:type="fixed"/>
        <w:tblLook w:firstRow="0" w:lastRow="0" w:firstColumn="0" w:lastColumn="0" w:noHBand="0" w:noVBand="0" w:val="0000"/>
      </w:tblPr>
      <w:tblGrid>
        <w:gridCol w:w="7920"/>
      </w:tblGrid>
      <w:tr>
        <w:tc>
          <w:tcPr/>
          <w:bookmarkStart w:id="498" w:name="tbl-quadro-cindacta3"/>
          <w:p>
            <w:pPr>
              <w:jc w:val="center"/>
            </w:pPr>
            <w:pPr>
              <w:jc w:val="left"/>
              <w:spacing w:before="200"/>
              <w:pStyle w:val="ImageCaption"/>
            </w:pPr>
            <w:r>
              <w:t xml:space="preserve">Tabela 5.3: Órgãos ATS do CINDACTA III. Fonte: DECEA</w:t>
            </w:r>
          </w:p>
          <w:tbl>
            <w:tblPr>
              <w:tblStyle w:val="Table"/>
              <w:tblW w:type="pct" w:w="5000"/>
              <w:tblLayout w:type="fixed"/>
              <w:tblLook w:firstRow="1" w:lastRow="0" w:firstColumn="0" w:lastColumn="0" w:noHBand="0" w:noVBand="0" w:val="0020"/>
            </w:tblPr>
            <w:tblGrid>
              <w:gridCol w:w="637"/>
              <w:gridCol w:w="364"/>
              <w:gridCol w:w="364"/>
              <w:gridCol w:w="1547"/>
              <w:gridCol w:w="1729"/>
              <w:gridCol w:w="1729"/>
              <w:gridCol w:w="1547"/>
            </w:tblGrid>
            <w:tr>
              <w:trPr>
                <w:tblHeader w:val="on"/>
              </w:trPr>
              <w:tc>
                <w:tcPr/>
                <w:p>
                  <w:pPr>
                    <w:pStyle w:val="Compact"/>
                    <w:jc w:val="center"/>
                    <w:jc w:val="center"/>
                  </w:pPr>
                  <w:r>
                    <w:t xml:space="preserve">REGIONAL</w:t>
                  </w:r>
                </w:p>
              </w:tc>
              <w:tc>
                <w:tcPr/>
                <w:p>
                  <w:pPr>
                    <w:pStyle w:val="Compact"/>
                    <w:jc w:val="center"/>
                    <w:jc w:val="center"/>
                  </w:pPr>
                  <w:r>
                    <w:t xml:space="preserve">ÓRGÃO</w:t>
                  </w:r>
                </w:p>
              </w:tc>
              <w:tc>
                <w:tcPr/>
                <w:p>
                  <w:pPr>
                    <w:pStyle w:val="Compact"/>
                    <w:jc w:val="center"/>
                    <w:jc w:val="center"/>
                  </w:pPr>
                  <w:r>
                    <w:t xml:space="preserve">CÓDIGO</w:t>
                  </w:r>
                </w:p>
              </w:tc>
              <w:tc>
                <w:tcPr/>
                <w:p>
                  <w:pPr>
                    <w:pStyle w:val="Compact"/>
                    <w:jc w:val="center"/>
                    <w:jc w:val="center"/>
                  </w:pPr>
                  <w:r>
                    <w:t xml:space="preserve">NOME</w:t>
                  </w:r>
                </w:p>
              </w:tc>
              <w:tc>
                <w:tcPr/>
                <w:p>
                  <w:pPr>
                    <w:pStyle w:val="Compact"/>
                    <w:jc w:val="center"/>
                    <w:jc w:val="center"/>
                  </w:pPr>
                  <w:r>
                    <w:t xml:space="preserve">RESPONSÁVEL/DESTACAMENTO DO ORGÃO</w:t>
                  </w:r>
                </w:p>
              </w:tc>
              <w:tc>
                <w:tcPr/>
                <w:p>
                  <w:pPr>
                    <w:pStyle w:val="Compact"/>
                    <w:jc w:val="center"/>
                    <w:jc w:val="center"/>
                  </w:pPr>
                  <w:r>
                    <w:t xml:space="preserve">OPERADOR DO ÓRGÃO</w:t>
                  </w:r>
                </w:p>
              </w:tc>
              <w:tc>
                <w:tcPr/>
                <w:p>
                  <w:pPr>
                    <w:pStyle w:val="Compact"/>
                    <w:jc w:val="center"/>
                    <w:jc w:val="center"/>
                  </w:pPr>
                  <w:r>
                    <w:t xml:space="preserve">OPERADOR AEROPORTUÁRIO</w:t>
                  </w:r>
                </w:p>
              </w:tc>
            </w:tr>
            <w:tr>
              <w:tc>
                <w:tcPr/>
                <w:p>
                  <w:pPr>
                    <w:pStyle w:val="Compact"/>
                    <w:jc w:val="center"/>
                    <w:jc w:val="center"/>
                  </w:pPr>
                  <w:r>
                    <w:t xml:space="preserve">CINDACTA III</w:t>
                  </w:r>
                </w:p>
              </w:tc>
              <w:tc>
                <w:tcPr/>
                <w:p>
                  <w:pPr>
                    <w:pStyle w:val="Compact"/>
                    <w:jc w:val="center"/>
                    <w:jc w:val="center"/>
                  </w:pPr>
                  <w:r>
                    <w:t xml:space="preserve">ACC</w:t>
                  </w:r>
                </w:p>
              </w:tc>
              <w:tc>
                <w:tcPr/>
                <w:p>
                  <w:pPr>
                    <w:pStyle w:val="Compact"/>
                    <w:jc w:val="center"/>
                    <w:jc w:val="center"/>
                  </w:pPr>
                  <w:r>
                    <w:t xml:space="preserve">SBAO</w:t>
                  </w:r>
                </w:p>
              </w:tc>
              <w:tc>
                <w:tcPr/>
                <w:p>
                  <w:pPr>
                    <w:pStyle w:val="Compact"/>
                    <w:jc w:val="center"/>
                    <w:jc w:val="center"/>
                  </w:pPr>
                  <w:r>
                    <w:t xml:space="preserve">Atlântico</w:t>
                  </w:r>
                </w:p>
              </w:tc>
              <w:tc>
                <w:tcPr/>
                <w:p>
                  <w:pPr>
                    <w:pStyle w:val="Compact"/>
                    <w:jc w:val="center"/>
                    <w:jc w:val="center"/>
                  </w:pPr>
                  <w:r>
                    <w:t xml:space="preserve">CINDACTA III</w:t>
                  </w:r>
                </w:p>
              </w:tc>
              <w:tc>
                <w:tcPr/>
                <w:p>
                  <w:pPr>
                    <w:pStyle w:val="Compact"/>
                    <w:jc w:val="center"/>
                    <w:jc w:val="center"/>
                  </w:pPr>
                  <w:r>
                    <w:t xml:space="preserve">CINDACTA III</w:t>
                  </w:r>
                </w:p>
              </w:tc>
              <w:tc>
                <w:tcPr/>
                <w:p>
                  <w:pPr>
                    <w:pStyle w:val="Compact"/>
                    <w:jc w:val="center"/>
                    <w:jc w:val="center"/>
                  </w:pPr>
                  <w:r>
                    <w:t xml:space="preserve">-</w:t>
                  </w:r>
                </w:p>
              </w:tc>
            </w:tr>
            <w:tr>
              <w:tc>
                <w:tcPr/>
                <w:p>
                  <w:pPr>
                    <w:pStyle w:val="Compact"/>
                    <w:jc w:val="center"/>
                    <w:jc w:val="center"/>
                  </w:pPr>
                  <w:r>
                    <w:t xml:space="preserve">CINDACTA III</w:t>
                  </w:r>
                </w:p>
              </w:tc>
              <w:tc>
                <w:tcPr/>
                <w:p>
                  <w:pPr>
                    <w:pStyle w:val="Compact"/>
                    <w:jc w:val="center"/>
                    <w:jc w:val="center"/>
                  </w:pPr>
                  <w:r>
                    <w:t xml:space="preserve">ACC</w:t>
                  </w:r>
                </w:p>
              </w:tc>
              <w:tc>
                <w:tcPr/>
                <w:p>
                  <w:pPr>
                    <w:pStyle w:val="Compact"/>
                    <w:jc w:val="center"/>
                    <w:jc w:val="center"/>
                  </w:pPr>
                  <w:r>
                    <w:t xml:space="preserve">SBRE</w:t>
                  </w:r>
                </w:p>
              </w:tc>
              <w:tc>
                <w:tcPr/>
                <w:p>
                  <w:pPr>
                    <w:pStyle w:val="Compact"/>
                    <w:jc w:val="center"/>
                    <w:jc w:val="center"/>
                  </w:pPr>
                  <w:r>
                    <w:t xml:space="preserve">Recife</w:t>
                  </w:r>
                </w:p>
              </w:tc>
              <w:tc>
                <w:tcPr/>
                <w:p>
                  <w:pPr>
                    <w:pStyle w:val="Compact"/>
                    <w:jc w:val="center"/>
                    <w:jc w:val="center"/>
                  </w:pPr>
                  <w:r>
                    <w:t xml:space="preserve">CINDACTA III</w:t>
                  </w:r>
                </w:p>
              </w:tc>
              <w:tc>
                <w:tcPr/>
                <w:p>
                  <w:pPr>
                    <w:pStyle w:val="Compact"/>
                    <w:jc w:val="center"/>
                    <w:jc w:val="center"/>
                  </w:pPr>
                  <w:r>
                    <w:t xml:space="preserve">CINDACTA III</w:t>
                  </w:r>
                </w:p>
              </w:tc>
              <w:tc>
                <w:tcPr/>
                <w:p>
                  <w:pPr>
                    <w:pStyle w:val="Compact"/>
                    <w:jc w:val="center"/>
                    <w:jc w:val="center"/>
                  </w:pPr>
                  <w:r>
                    <w:t xml:space="preserve">-</w:t>
                  </w:r>
                </w:p>
              </w:tc>
            </w:tr>
            <w:tr>
              <w:tc>
                <w:tcPr/>
                <w:p>
                  <w:pPr>
                    <w:pStyle w:val="Compact"/>
                    <w:jc w:val="center"/>
                    <w:jc w:val="center"/>
                  </w:pPr>
                  <w:r>
                    <w:t xml:space="preserve">CINDACTA III</w:t>
                  </w:r>
                </w:p>
              </w:tc>
              <w:tc>
                <w:tcPr/>
                <w:p>
                  <w:pPr>
                    <w:pStyle w:val="Compact"/>
                    <w:jc w:val="center"/>
                    <w:jc w:val="center"/>
                  </w:pPr>
                  <w:r>
                    <w:t xml:space="preserve">APP</w:t>
                  </w:r>
                </w:p>
              </w:tc>
              <w:tc>
                <w:tcPr/>
                <w:p>
                  <w:pPr>
                    <w:pStyle w:val="Compact"/>
                    <w:jc w:val="center"/>
                    <w:jc w:val="center"/>
                  </w:pPr>
                  <w:r>
                    <w:t xml:space="preserve">SBWF</w:t>
                  </w:r>
                </w:p>
              </w:tc>
              <w:tc>
                <w:tcPr/>
                <w:p>
                  <w:pPr>
                    <w:pStyle w:val="Compact"/>
                    <w:jc w:val="center"/>
                    <w:jc w:val="center"/>
                  </w:pPr>
                  <w:r>
                    <w:t xml:space="preserve">Recife</w:t>
                  </w:r>
                </w:p>
              </w:tc>
              <w:tc>
                <w:tcPr/>
                <w:p>
                  <w:pPr>
                    <w:pStyle w:val="Compact"/>
                    <w:jc w:val="center"/>
                    <w:jc w:val="center"/>
                  </w:pPr>
                  <w:r>
                    <w:t xml:space="preserve">CINDACTA III</w:t>
                  </w:r>
                </w:p>
              </w:tc>
              <w:tc>
                <w:tcPr/>
                <w:p>
                  <w:pPr>
                    <w:pStyle w:val="Compact"/>
                    <w:jc w:val="center"/>
                    <w:jc w:val="center"/>
                  </w:pPr>
                  <w:r>
                    <w:t xml:space="preserve">CINDACTA III</w:t>
                  </w:r>
                </w:p>
              </w:tc>
              <w:tc>
                <w:tcPr/>
                <w:p>
                  <w:pPr>
                    <w:pStyle w:val="Compact"/>
                    <w:jc w:val="center"/>
                    <w:jc w:val="center"/>
                  </w:pPr>
                  <w:r>
                    <w:t xml:space="preserve">-</w:t>
                  </w:r>
                </w:p>
              </w:tc>
            </w:tr>
            <w:tr>
              <w:tc>
                <w:tcPr/>
                <w:p>
                  <w:pPr>
                    <w:pStyle w:val="Compact"/>
                    <w:jc w:val="center"/>
                    <w:jc w:val="center"/>
                  </w:pPr>
                  <w:r>
                    <w:t xml:space="preserve">CINDACTA III</w:t>
                  </w:r>
                </w:p>
              </w:tc>
              <w:tc>
                <w:tcPr/>
                <w:p>
                  <w:pPr>
                    <w:pStyle w:val="Compact"/>
                    <w:jc w:val="center"/>
                    <w:jc w:val="center"/>
                  </w:pPr>
                  <w:r>
                    <w:t xml:space="preserve">APP</w:t>
                  </w:r>
                </w:p>
              </w:tc>
              <w:tc>
                <w:tcPr/>
                <w:p>
                  <w:pPr>
                    <w:pStyle w:val="Compact"/>
                    <w:jc w:val="center"/>
                    <w:jc w:val="center"/>
                  </w:pPr>
                  <w:r>
                    <w:t xml:space="preserve">SBWK</w:t>
                  </w:r>
                </w:p>
              </w:tc>
              <w:tc>
                <w:tcPr/>
                <w:p>
                  <w:pPr>
                    <w:pStyle w:val="Compact"/>
                    <w:jc w:val="center"/>
                    <w:jc w:val="center"/>
                  </w:pPr>
                  <w:r>
                    <w:t xml:space="preserve">Porto Seguro</w:t>
                  </w:r>
                </w:p>
              </w:tc>
              <w:tc>
                <w:tcPr/>
                <w:p>
                  <w:pPr>
                    <w:pStyle w:val="Compact"/>
                    <w:jc w:val="center"/>
                    <w:jc w:val="center"/>
                  </w:pPr>
                  <w:r>
                    <w:t xml:space="preserve">DTCEA-PS</w:t>
                  </w:r>
                </w:p>
              </w:tc>
              <w:tc>
                <w:tcPr/>
                <w:p>
                  <w:pPr>
                    <w:pStyle w:val="Compact"/>
                    <w:jc w:val="center"/>
                    <w:jc w:val="center"/>
                  </w:pPr>
                  <w:r>
                    <w:t xml:space="preserve">DTCEA-PS</w:t>
                  </w:r>
                </w:p>
              </w:tc>
              <w:tc>
                <w:tcPr/>
                <w:p>
                  <w:pPr>
                    <w:pStyle w:val="Compact"/>
                    <w:jc w:val="center"/>
                    <w:jc w:val="center"/>
                  </w:pPr>
                  <w:r>
                    <w:t xml:space="preserve">-</w:t>
                  </w:r>
                </w:p>
              </w:tc>
            </w:tr>
            <w:tr>
              <w:tc>
                <w:tcPr/>
                <w:p>
                  <w:pPr>
                    <w:pStyle w:val="Compact"/>
                    <w:jc w:val="center"/>
                    <w:jc w:val="center"/>
                  </w:pPr>
                  <w:r>
                    <w:t xml:space="preserve">CINDACTA III</w:t>
                  </w:r>
                </w:p>
              </w:tc>
              <w:tc>
                <w:tcPr/>
                <w:p>
                  <w:pPr>
                    <w:pStyle w:val="Compact"/>
                    <w:jc w:val="center"/>
                    <w:jc w:val="center"/>
                  </w:pPr>
                  <w:r>
                    <w:t xml:space="preserve">APP</w:t>
                  </w:r>
                </w:p>
              </w:tc>
              <w:tc>
                <w:tcPr/>
                <w:p>
                  <w:pPr>
                    <w:pStyle w:val="Compact"/>
                    <w:jc w:val="center"/>
                    <w:jc w:val="center"/>
                  </w:pPr>
                  <w:r>
                    <w:t xml:space="preserve">SBWL</w:t>
                  </w:r>
                </w:p>
              </w:tc>
              <w:tc>
                <w:tcPr/>
                <w:p>
                  <w:pPr>
                    <w:pStyle w:val="Compact"/>
                    <w:jc w:val="center"/>
                    <w:jc w:val="center"/>
                  </w:pPr>
                  <w:r>
                    <w:t xml:space="preserve">Ilhéus</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w:t>
                  </w:r>
                </w:p>
              </w:tc>
            </w:tr>
            <w:tr>
              <w:tc>
                <w:tcPr/>
                <w:p>
                  <w:pPr>
                    <w:pStyle w:val="Compact"/>
                    <w:jc w:val="center"/>
                    <w:jc w:val="center"/>
                  </w:pPr>
                  <w:r>
                    <w:t xml:space="preserve">CINDACTA III</w:t>
                  </w:r>
                </w:p>
              </w:tc>
              <w:tc>
                <w:tcPr/>
                <w:p>
                  <w:pPr>
                    <w:pStyle w:val="Compact"/>
                    <w:jc w:val="center"/>
                    <w:jc w:val="center"/>
                  </w:pPr>
                  <w:r>
                    <w:t xml:space="preserve">APP</w:t>
                  </w:r>
                </w:p>
              </w:tc>
              <w:tc>
                <w:tcPr/>
                <w:p>
                  <w:pPr>
                    <w:pStyle w:val="Compact"/>
                    <w:jc w:val="center"/>
                    <w:jc w:val="center"/>
                  </w:pPr>
                  <w:r>
                    <w:t xml:space="preserve">SBWZ</w:t>
                  </w:r>
                </w:p>
              </w:tc>
              <w:tc>
                <w:tcPr/>
                <w:p>
                  <w:pPr>
                    <w:pStyle w:val="Compact"/>
                    <w:jc w:val="center"/>
                    <w:jc w:val="center"/>
                  </w:pPr>
                  <w:r>
                    <w:t xml:space="preserve">Fortaleza</w:t>
                  </w:r>
                </w:p>
              </w:tc>
              <w:tc>
                <w:tcPr/>
                <w:p>
                  <w:pPr>
                    <w:pStyle w:val="Compact"/>
                    <w:jc w:val="center"/>
                    <w:jc w:val="center"/>
                  </w:pPr>
                  <w:r>
                    <w:t xml:space="preserve">DTCEA-FZ</w:t>
                  </w:r>
                </w:p>
              </w:tc>
              <w:tc>
                <w:tcPr/>
                <w:p>
                  <w:pPr>
                    <w:pStyle w:val="Compact"/>
                    <w:jc w:val="center"/>
                    <w:jc w:val="center"/>
                  </w:pPr>
                  <w:r>
                    <w:t xml:space="preserve">DTCEA-FZ</w:t>
                  </w:r>
                </w:p>
              </w:tc>
              <w:tc>
                <w:tcPr/>
                <w:p>
                  <w:pPr>
                    <w:pStyle w:val="Compact"/>
                    <w:jc w:val="center"/>
                    <w:jc w:val="center"/>
                  </w:pPr>
                  <w:r>
                    <w:t xml:space="preserve">-</w:t>
                  </w:r>
                </w:p>
              </w:tc>
            </w:tr>
            <w:tr>
              <w:tc>
                <w:tcPr/>
                <w:p>
                  <w:pPr>
                    <w:pStyle w:val="Compact"/>
                    <w:jc w:val="center"/>
                    <w:jc w:val="center"/>
                  </w:pPr>
                  <w:r>
                    <w:t xml:space="preserve">CINDACTA III</w:t>
                  </w:r>
                </w:p>
              </w:tc>
              <w:tc>
                <w:tcPr/>
                <w:p>
                  <w:pPr>
                    <w:pStyle w:val="Compact"/>
                    <w:jc w:val="center"/>
                    <w:jc w:val="center"/>
                  </w:pPr>
                  <w:r>
                    <w:t xml:space="preserve">APP</w:t>
                  </w:r>
                </w:p>
              </w:tc>
              <w:tc>
                <w:tcPr/>
                <w:p>
                  <w:pPr>
                    <w:pStyle w:val="Compact"/>
                    <w:jc w:val="center"/>
                    <w:jc w:val="center"/>
                  </w:pPr>
                  <w:r>
                    <w:t xml:space="preserve">SBXA</w:t>
                  </w:r>
                </w:p>
              </w:tc>
              <w:tc>
                <w:tcPr/>
                <w:p>
                  <w:pPr>
                    <w:pStyle w:val="Compact"/>
                    <w:jc w:val="center"/>
                    <w:jc w:val="center"/>
                  </w:pPr>
                  <w:r>
                    <w:t xml:space="preserve">Aracaju</w:t>
                  </w:r>
                </w:p>
              </w:tc>
              <w:tc>
                <w:tcPr/>
                <w:p>
                  <w:pPr>
                    <w:pStyle w:val="Compact"/>
                    <w:jc w:val="center"/>
                    <w:jc w:val="center"/>
                  </w:pPr>
                  <w:r>
                    <w:t xml:space="preserve">DTCEA-SV</w:t>
                  </w:r>
                </w:p>
              </w:tc>
              <w:tc>
                <w:tcPr/>
                <w:p>
                  <w:pPr>
                    <w:pStyle w:val="Compact"/>
                    <w:jc w:val="center"/>
                    <w:jc w:val="center"/>
                  </w:pPr>
                  <w:r>
                    <w:t xml:space="preserve">DTCEA-SV</w:t>
                  </w:r>
                </w:p>
              </w:tc>
              <w:tc>
                <w:tcPr/>
                <w:p>
                  <w:pPr>
                    <w:pStyle w:val="Compact"/>
                    <w:jc w:val="center"/>
                    <w:jc w:val="center"/>
                  </w:pPr>
                  <w:r>
                    <w:t xml:space="preserve">-</w:t>
                  </w:r>
                </w:p>
              </w:tc>
            </w:tr>
            <w:tr>
              <w:tc>
                <w:tcPr/>
                <w:p>
                  <w:pPr>
                    <w:pStyle w:val="Compact"/>
                    <w:jc w:val="center"/>
                    <w:jc w:val="center"/>
                  </w:pPr>
                  <w:r>
                    <w:t xml:space="preserve">CINDACTA III</w:t>
                  </w:r>
                </w:p>
              </w:tc>
              <w:tc>
                <w:tcPr/>
                <w:p>
                  <w:pPr>
                    <w:pStyle w:val="Compact"/>
                    <w:jc w:val="center"/>
                    <w:jc w:val="center"/>
                  </w:pPr>
                  <w:r>
                    <w:t xml:space="preserve">APP</w:t>
                  </w:r>
                </w:p>
              </w:tc>
              <w:tc>
                <w:tcPr/>
                <w:p>
                  <w:pPr>
                    <w:pStyle w:val="Compact"/>
                    <w:jc w:val="center"/>
                    <w:jc w:val="center"/>
                  </w:pPr>
                  <w:r>
                    <w:t xml:space="preserve">SBXE</w:t>
                  </w:r>
                </w:p>
              </w:tc>
              <w:tc>
                <w:tcPr/>
                <w:p>
                  <w:pPr>
                    <w:pStyle w:val="Compact"/>
                    <w:jc w:val="center"/>
                    <w:jc w:val="center"/>
                  </w:pPr>
                  <w:r>
                    <w:t xml:space="preserve">Teresina</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w:t>
                  </w:r>
                </w:p>
              </w:tc>
            </w:tr>
            <w:tr>
              <w:tc>
                <w:tcPr/>
                <w:p>
                  <w:pPr>
                    <w:pStyle w:val="Compact"/>
                    <w:jc w:val="center"/>
                    <w:jc w:val="center"/>
                  </w:pPr>
                  <w:r>
                    <w:t xml:space="preserve">CINDACTA III</w:t>
                  </w:r>
                </w:p>
              </w:tc>
              <w:tc>
                <w:tcPr/>
                <w:p>
                  <w:pPr>
                    <w:pStyle w:val="Compact"/>
                    <w:jc w:val="center"/>
                    <w:jc w:val="center"/>
                  </w:pPr>
                  <w:r>
                    <w:t xml:space="preserve">APP</w:t>
                  </w:r>
                </w:p>
              </w:tc>
              <w:tc>
                <w:tcPr/>
                <w:p>
                  <w:pPr>
                    <w:pStyle w:val="Compact"/>
                    <w:jc w:val="center"/>
                    <w:jc w:val="center"/>
                  </w:pPr>
                  <w:r>
                    <w:t xml:space="preserve">SBXM</w:t>
                  </w:r>
                </w:p>
              </w:tc>
              <w:tc>
                <w:tcPr/>
                <w:p>
                  <w:pPr>
                    <w:pStyle w:val="Compact"/>
                    <w:jc w:val="center"/>
                    <w:jc w:val="center"/>
                  </w:pPr>
                  <w:r>
                    <w:t xml:space="preserve">Maceió</w:t>
                  </w:r>
                </w:p>
              </w:tc>
              <w:tc>
                <w:tcPr/>
                <w:p>
                  <w:pPr>
                    <w:pStyle w:val="Compact"/>
                    <w:jc w:val="center"/>
                    <w:jc w:val="center"/>
                  </w:pPr>
                  <w:r>
                    <w:t xml:space="preserve">DTCEA-MO</w:t>
                  </w:r>
                </w:p>
              </w:tc>
              <w:tc>
                <w:tcPr/>
                <w:p>
                  <w:pPr>
                    <w:pStyle w:val="Compact"/>
                    <w:jc w:val="center"/>
                    <w:jc w:val="center"/>
                  </w:pPr>
                  <w:r>
                    <w:t xml:space="preserve">DTCEA-MO</w:t>
                  </w:r>
                </w:p>
              </w:tc>
              <w:tc>
                <w:tcPr/>
                <w:p>
                  <w:pPr>
                    <w:pStyle w:val="Compact"/>
                    <w:jc w:val="center"/>
                    <w:jc w:val="center"/>
                  </w:pPr>
                  <w:r>
                    <w:t xml:space="preserve">-</w:t>
                  </w:r>
                </w:p>
              </w:tc>
            </w:tr>
            <w:tr>
              <w:tc>
                <w:tcPr/>
                <w:p>
                  <w:pPr>
                    <w:pStyle w:val="Compact"/>
                    <w:jc w:val="center"/>
                    <w:jc w:val="center"/>
                  </w:pPr>
                  <w:r>
                    <w:t xml:space="preserve">CINDACTA III</w:t>
                  </w:r>
                </w:p>
              </w:tc>
              <w:tc>
                <w:tcPr/>
                <w:p>
                  <w:pPr>
                    <w:pStyle w:val="Compact"/>
                    <w:jc w:val="center"/>
                    <w:jc w:val="center"/>
                  </w:pPr>
                  <w:r>
                    <w:t xml:space="preserve">APP</w:t>
                  </w:r>
                </w:p>
              </w:tc>
              <w:tc>
                <w:tcPr/>
                <w:p>
                  <w:pPr>
                    <w:pStyle w:val="Compact"/>
                    <w:jc w:val="center"/>
                    <w:jc w:val="center"/>
                  </w:pPr>
                  <w:r>
                    <w:t xml:space="preserve">SBXR</w:t>
                  </w:r>
                </w:p>
              </w:tc>
              <w:tc>
                <w:tcPr/>
                <w:p>
                  <w:pPr>
                    <w:pStyle w:val="Compact"/>
                    <w:jc w:val="center"/>
                    <w:jc w:val="center"/>
                  </w:pPr>
                  <w:r>
                    <w:t xml:space="preserve">Vitória</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w:t>
                  </w:r>
                </w:p>
              </w:tc>
            </w:tr>
            <w:tr>
              <w:tc>
                <w:tcPr/>
                <w:p>
                  <w:pPr>
                    <w:pStyle w:val="Compact"/>
                    <w:jc w:val="center"/>
                    <w:jc w:val="center"/>
                  </w:pPr>
                  <w:r>
                    <w:t xml:space="preserve">CINDACTA III</w:t>
                  </w:r>
                </w:p>
              </w:tc>
              <w:tc>
                <w:tcPr/>
                <w:p>
                  <w:pPr>
                    <w:pStyle w:val="Compact"/>
                    <w:jc w:val="center"/>
                    <w:jc w:val="center"/>
                  </w:pPr>
                  <w:r>
                    <w:t xml:space="preserve">APP</w:t>
                  </w:r>
                </w:p>
              </w:tc>
              <w:tc>
                <w:tcPr/>
                <w:p>
                  <w:pPr>
                    <w:pStyle w:val="Compact"/>
                    <w:jc w:val="center"/>
                    <w:jc w:val="center"/>
                  </w:pPr>
                  <w:r>
                    <w:t xml:space="preserve">SBXS</w:t>
                  </w:r>
                </w:p>
              </w:tc>
              <w:tc>
                <w:tcPr/>
                <w:p>
                  <w:pPr>
                    <w:pStyle w:val="Compact"/>
                    <w:jc w:val="center"/>
                    <w:jc w:val="center"/>
                  </w:pPr>
                  <w:r>
                    <w:t xml:space="preserve">Salvador</w:t>
                  </w:r>
                </w:p>
              </w:tc>
              <w:tc>
                <w:tcPr/>
                <w:p>
                  <w:pPr>
                    <w:pStyle w:val="Compact"/>
                    <w:jc w:val="center"/>
                    <w:jc w:val="center"/>
                  </w:pPr>
                  <w:r>
                    <w:t xml:space="preserve">DTCEA-SV</w:t>
                  </w:r>
                </w:p>
              </w:tc>
              <w:tc>
                <w:tcPr/>
                <w:p>
                  <w:pPr>
                    <w:pStyle w:val="Compact"/>
                    <w:jc w:val="center"/>
                    <w:jc w:val="center"/>
                  </w:pPr>
                  <w:r>
                    <w:t xml:space="preserve">DTCEA-SV</w:t>
                  </w:r>
                </w:p>
              </w:tc>
              <w:tc>
                <w:tcPr/>
                <w:p>
                  <w:pPr>
                    <w:pStyle w:val="Compact"/>
                    <w:jc w:val="center"/>
                    <w:jc w:val="center"/>
                  </w:pPr>
                  <w:r>
                    <w:t xml:space="preserve">-</w:t>
                  </w:r>
                </w:p>
              </w:tc>
            </w:tr>
            <w:tr>
              <w:tc>
                <w:tcPr/>
                <w:p>
                  <w:pPr>
                    <w:pStyle w:val="Compact"/>
                    <w:jc w:val="center"/>
                    <w:jc w:val="center"/>
                  </w:pPr>
                  <w:r>
                    <w:t xml:space="preserve">CINDACTA III</w:t>
                  </w:r>
                </w:p>
              </w:tc>
              <w:tc>
                <w:tcPr/>
                <w:p>
                  <w:pPr>
                    <w:pStyle w:val="Compact"/>
                    <w:jc w:val="center"/>
                    <w:jc w:val="center"/>
                  </w:pPr>
                  <w:r>
                    <w:t xml:space="preserve">APP</w:t>
                  </w:r>
                </w:p>
              </w:tc>
              <w:tc>
                <w:tcPr/>
                <w:p>
                  <w:pPr>
                    <w:pStyle w:val="Compact"/>
                    <w:jc w:val="center"/>
                    <w:jc w:val="center"/>
                  </w:pPr>
                  <w:r>
                    <w:t xml:space="preserve">SBXT</w:t>
                  </w:r>
                </w:p>
              </w:tc>
              <w:tc>
                <w:tcPr/>
                <w:p>
                  <w:pPr>
                    <w:pStyle w:val="Compact"/>
                    <w:jc w:val="center"/>
                    <w:jc w:val="center"/>
                  </w:pPr>
                  <w:r>
                    <w:t xml:space="preserve">Natal</w:t>
                  </w:r>
                </w:p>
              </w:tc>
              <w:tc>
                <w:tcPr/>
                <w:p>
                  <w:pPr>
                    <w:pStyle w:val="Compact"/>
                    <w:jc w:val="center"/>
                    <w:jc w:val="center"/>
                  </w:pPr>
                  <w:r>
                    <w:t xml:space="preserve">DTCEA-NT</w:t>
                  </w:r>
                </w:p>
              </w:tc>
              <w:tc>
                <w:tcPr/>
                <w:p>
                  <w:pPr>
                    <w:pStyle w:val="Compact"/>
                    <w:jc w:val="center"/>
                    <w:jc w:val="center"/>
                  </w:pPr>
                  <w:r>
                    <w:t xml:space="preserve">DTCEA-NT</w:t>
                  </w:r>
                </w:p>
              </w:tc>
              <w:tc>
                <w:tcPr/>
                <w:p>
                  <w:pPr>
                    <w:pStyle w:val="Compact"/>
                    <w:jc w:val="center"/>
                    <w:jc w:val="center"/>
                  </w:pPr>
                  <w:r>
                    <w:t xml:space="preserve">-</w:t>
                  </w:r>
                </w:p>
              </w:tc>
            </w:tr>
            <w:tr>
              <w:tc>
                <w:tcPr/>
                <w:p>
                  <w:pPr>
                    <w:pStyle w:val="Compact"/>
                    <w:jc w:val="center"/>
                    <w:jc w:val="center"/>
                  </w:pPr>
                  <w:r>
                    <w:t xml:space="preserve">CINDACTA III</w:t>
                  </w:r>
                </w:p>
              </w:tc>
              <w:tc>
                <w:tcPr/>
                <w:p>
                  <w:pPr>
                    <w:pStyle w:val="Compact"/>
                    <w:jc w:val="center"/>
                    <w:jc w:val="center"/>
                  </w:pPr>
                  <w:r>
                    <w:t xml:space="preserve">APP</w:t>
                  </w:r>
                </w:p>
              </w:tc>
              <w:tc>
                <w:tcPr/>
                <w:p>
                  <w:pPr>
                    <w:pStyle w:val="Compact"/>
                    <w:jc w:val="center"/>
                    <w:jc w:val="center"/>
                  </w:pPr>
                  <w:r>
                    <w:t xml:space="preserve">SBWS</w:t>
                  </w:r>
                </w:p>
              </w:tc>
              <w:tc>
                <w:tcPr/>
                <w:p>
                  <w:pPr>
                    <w:pStyle w:val="Compact"/>
                    <w:jc w:val="center"/>
                    <w:jc w:val="center"/>
                  </w:pPr>
                  <w:r>
                    <w:t xml:space="preserve">São Luís</w:t>
                  </w:r>
                </w:p>
              </w:tc>
              <w:tc>
                <w:tcPr/>
                <w:p>
                  <w:pPr>
                    <w:pStyle w:val="Compact"/>
                    <w:jc w:val="center"/>
                    <w:jc w:val="center"/>
                  </w:pPr>
                  <w:r>
                    <w:t xml:space="preserve">DTCEA-SL</w:t>
                  </w:r>
                </w:p>
              </w:tc>
              <w:tc>
                <w:tcPr/>
                <w:p>
                  <w:pPr>
                    <w:pStyle w:val="Compact"/>
                    <w:jc w:val="center"/>
                    <w:jc w:val="center"/>
                  </w:pPr>
                  <w:r>
                    <w:t xml:space="preserve">DTCEA-SL</w:t>
                  </w:r>
                </w:p>
              </w:tc>
              <w:tc>
                <w:tcPr/>
                <w:p>
                  <w:pPr>
                    <w:pStyle w:val="Compact"/>
                    <w:jc w:val="center"/>
                    <w:jc w:val="center"/>
                  </w:pPr>
                  <w:r>
                    <w:t xml:space="preserve">-</w:t>
                  </w:r>
                </w:p>
              </w:tc>
            </w:tr>
            <w:tr>
              <w:tc>
                <w:tcPr/>
                <w:p>
                  <w:pPr>
                    <w:pStyle w:val="Compact"/>
                    <w:jc w:val="center"/>
                    <w:jc w:val="center"/>
                  </w:pPr>
                  <w:r>
                    <w:t xml:space="preserve">CINDACTA III</w:t>
                  </w:r>
                </w:p>
              </w:tc>
              <w:tc>
                <w:tcPr/>
                <w:p>
                  <w:pPr>
                    <w:pStyle w:val="Compact"/>
                    <w:jc w:val="center"/>
                    <w:jc w:val="center"/>
                  </w:pPr>
                  <w:r>
                    <w:t xml:space="preserve">TWR</w:t>
                  </w:r>
                </w:p>
              </w:tc>
              <w:tc>
                <w:tcPr/>
                <w:p>
                  <w:pPr>
                    <w:pStyle w:val="Compact"/>
                    <w:jc w:val="center"/>
                    <w:jc w:val="center"/>
                  </w:pPr>
                  <w:r>
                    <w:t xml:space="preserve">SBAR</w:t>
                  </w:r>
                </w:p>
              </w:tc>
              <w:tc>
                <w:tcPr/>
                <w:p>
                  <w:pPr>
                    <w:pStyle w:val="Compact"/>
                    <w:jc w:val="center"/>
                    <w:jc w:val="center"/>
                  </w:pPr>
                  <w:r>
                    <w:t xml:space="preserve">Aracaju</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AENA</w:t>
                  </w:r>
                </w:p>
              </w:tc>
            </w:tr>
            <w:tr>
              <w:tc>
                <w:tcPr/>
                <w:p>
                  <w:pPr>
                    <w:pStyle w:val="Compact"/>
                    <w:jc w:val="center"/>
                    <w:jc w:val="center"/>
                  </w:pPr>
                  <w:r>
                    <w:t xml:space="preserve">CINDACTA III</w:t>
                  </w:r>
                </w:p>
              </w:tc>
              <w:tc>
                <w:tcPr/>
                <w:p>
                  <w:pPr>
                    <w:pStyle w:val="Compact"/>
                    <w:jc w:val="center"/>
                    <w:jc w:val="center"/>
                  </w:pPr>
                  <w:r>
                    <w:t xml:space="preserve">TWR</w:t>
                  </w:r>
                </w:p>
              </w:tc>
              <w:tc>
                <w:tcPr/>
                <w:p>
                  <w:pPr>
                    <w:pStyle w:val="Compact"/>
                    <w:jc w:val="center"/>
                    <w:jc w:val="center"/>
                  </w:pPr>
                  <w:r>
                    <w:t xml:space="preserve">SBFZ</w:t>
                  </w:r>
                </w:p>
              </w:tc>
              <w:tc>
                <w:tcPr/>
                <w:p>
                  <w:pPr>
                    <w:pStyle w:val="Compact"/>
                    <w:jc w:val="center"/>
                    <w:jc w:val="center"/>
                  </w:pPr>
                  <w:r>
                    <w:t xml:space="preserve">Fortaleza</w:t>
                  </w:r>
                </w:p>
              </w:tc>
              <w:tc>
                <w:tcPr/>
                <w:p>
                  <w:pPr>
                    <w:pStyle w:val="Compact"/>
                    <w:jc w:val="center"/>
                    <w:jc w:val="center"/>
                  </w:pPr>
                  <w:r>
                    <w:t xml:space="preserve">DTCEA-FZ</w:t>
                  </w:r>
                </w:p>
              </w:tc>
              <w:tc>
                <w:tcPr/>
                <w:p>
                  <w:pPr>
                    <w:pStyle w:val="Compact"/>
                    <w:jc w:val="center"/>
                    <w:jc w:val="center"/>
                  </w:pPr>
                  <w:r>
                    <w:t xml:space="preserve">DTCEA-FZ</w:t>
                  </w:r>
                </w:p>
              </w:tc>
              <w:tc>
                <w:tcPr/>
                <w:p>
                  <w:pPr>
                    <w:pStyle w:val="Compact"/>
                    <w:jc w:val="center"/>
                    <w:jc w:val="center"/>
                  </w:pPr>
                  <w:r>
                    <w:t xml:space="preserve"> FRAPORT</w:t>
                  </w:r>
                </w:p>
              </w:tc>
            </w:tr>
            <w:tr>
              <w:tc>
                <w:tcPr/>
                <w:p>
                  <w:pPr>
                    <w:pStyle w:val="Compact"/>
                    <w:jc w:val="center"/>
                    <w:jc w:val="center"/>
                  </w:pPr>
                  <w:r>
                    <w:t xml:space="preserve">CINDACTA III</w:t>
                  </w:r>
                </w:p>
              </w:tc>
              <w:tc>
                <w:tcPr/>
                <w:p>
                  <w:pPr>
                    <w:pStyle w:val="Compact"/>
                    <w:jc w:val="center"/>
                    <w:jc w:val="center"/>
                  </w:pPr>
                  <w:r>
                    <w:t xml:space="preserve">TWR</w:t>
                  </w:r>
                </w:p>
              </w:tc>
              <w:tc>
                <w:tcPr/>
                <w:p>
                  <w:pPr>
                    <w:pStyle w:val="Compact"/>
                    <w:jc w:val="center"/>
                    <w:jc w:val="center"/>
                  </w:pPr>
                  <w:r>
                    <w:t xml:space="preserve">SBJP</w:t>
                  </w:r>
                </w:p>
              </w:tc>
              <w:tc>
                <w:tcPr/>
                <w:p>
                  <w:pPr>
                    <w:pStyle w:val="Compact"/>
                    <w:jc w:val="center"/>
                    <w:jc w:val="center"/>
                  </w:pPr>
                  <w:r>
                    <w:t xml:space="preserve">João Pessoa</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AENA</w:t>
                  </w:r>
                </w:p>
              </w:tc>
            </w:tr>
            <w:tr>
              <w:tc>
                <w:tcPr/>
                <w:p>
                  <w:pPr>
                    <w:pStyle w:val="Compact"/>
                    <w:jc w:val="center"/>
                    <w:jc w:val="center"/>
                  </w:pPr>
                  <w:r>
                    <w:t xml:space="preserve">CINDACTA III</w:t>
                  </w:r>
                </w:p>
              </w:tc>
              <w:tc>
                <w:tcPr/>
                <w:p>
                  <w:pPr>
                    <w:pStyle w:val="Compact"/>
                    <w:jc w:val="center"/>
                    <w:jc w:val="center"/>
                  </w:pPr>
                  <w:r>
                    <w:t xml:space="preserve">TWR</w:t>
                  </w:r>
                </w:p>
              </w:tc>
              <w:tc>
                <w:tcPr/>
                <w:p>
                  <w:pPr>
                    <w:pStyle w:val="Compact"/>
                    <w:jc w:val="center"/>
                    <w:jc w:val="center"/>
                  </w:pPr>
                  <w:r>
                    <w:t xml:space="preserve">SBMO</w:t>
                  </w:r>
                </w:p>
              </w:tc>
              <w:tc>
                <w:tcPr/>
                <w:p>
                  <w:pPr>
                    <w:pStyle w:val="Compact"/>
                    <w:jc w:val="center"/>
                    <w:jc w:val="center"/>
                  </w:pPr>
                  <w:r>
                    <w:t xml:space="preserve">Maceió</w:t>
                  </w:r>
                </w:p>
              </w:tc>
              <w:tc>
                <w:tcPr/>
                <w:p>
                  <w:pPr>
                    <w:pStyle w:val="Compact"/>
                    <w:jc w:val="center"/>
                    <w:jc w:val="center"/>
                  </w:pPr>
                  <w:r>
                    <w:t xml:space="preserve">DTCEA-MO</w:t>
                  </w:r>
                </w:p>
              </w:tc>
              <w:tc>
                <w:tcPr/>
                <w:p>
                  <w:pPr>
                    <w:pStyle w:val="Compact"/>
                    <w:jc w:val="center"/>
                    <w:jc w:val="center"/>
                  </w:pPr>
                  <w:r>
                    <w:t xml:space="preserve">DTCEA-MO</w:t>
                  </w:r>
                </w:p>
              </w:tc>
              <w:tc>
                <w:tcPr/>
                <w:p>
                  <w:pPr>
                    <w:pStyle w:val="Compact"/>
                    <w:jc w:val="center"/>
                    <w:jc w:val="center"/>
                  </w:pPr>
                  <w:r>
                    <w:t xml:space="preserve"> AENA</w:t>
                  </w:r>
                </w:p>
              </w:tc>
            </w:tr>
            <w:tr>
              <w:tc>
                <w:tcPr/>
                <w:p>
                  <w:pPr>
                    <w:pStyle w:val="Compact"/>
                    <w:jc w:val="center"/>
                    <w:jc w:val="center"/>
                  </w:pPr>
                  <w:r>
                    <w:t xml:space="preserve">CINDACTA III</w:t>
                  </w:r>
                </w:p>
              </w:tc>
              <w:tc>
                <w:tcPr/>
                <w:p>
                  <w:pPr>
                    <w:pStyle w:val="Compact"/>
                    <w:jc w:val="center"/>
                    <w:jc w:val="center"/>
                  </w:pPr>
                  <w:r>
                    <w:t xml:space="preserve">TWR</w:t>
                  </w:r>
                </w:p>
              </w:tc>
              <w:tc>
                <w:tcPr/>
                <w:p>
                  <w:pPr>
                    <w:pStyle w:val="Compact"/>
                    <w:jc w:val="center"/>
                    <w:jc w:val="center"/>
                  </w:pPr>
                  <w:r>
                    <w:t xml:space="preserve">SBNT</w:t>
                  </w:r>
                </w:p>
              </w:tc>
              <w:tc>
                <w:tcPr/>
                <w:p>
                  <w:pPr>
                    <w:pStyle w:val="Compact"/>
                    <w:jc w:val="center"/>
                    <w:jc w:val="center"/>
                  </w:pPr>
                  <w:r>
                    <w:t xml:space="preserve">Natal</w:t>
                  </w:r>
                </w:p>
              </w:tc>
              <w:tc>
                <w:tcPr/>
                <w:p>
                  <w:pPr>
                    <w:pStyle w:val="Compact"/>
                    <w:jc w:val="center"/>
                    <w:jc w:val="center"/>
                  </w:pPr>
                  <w:r>
                    <w:t xml:space="preserve">DTCEA-NT</w:t>
                  </w:r>
                </w:p>
              </w:tc>
              <w:tc>
                <w:tcPr/>
                <w:p>
                  <w:pPr>
                    <w:pStyle w:val="Compact"/>
                    <w:jc w:val="center"/>
                    <w:jc w:val="center"/>
                  </w:pPr>
                  <w:r>
                    <w:t xml:space="preserve">DTCEA-NT</w:t>
                  </w:r>
                </w:p>
              </w:tc>
              <w:tc>
                <w:tcPr/>
                <w:p>
                  <w:pPr>
                    <w:pStyle w:val="Compact"/>
                    <w:jc w:val="center"/>
                    <w:jc w:val="center"/>
                  </w:pPr>
                  <w:r>
                    <w:t xml:space="preserve">DECEA</w:t>
                  </w:r>
                </w:p>
              </w:tc>
            </w:tr>
            <w:tr>
              <w:tc>
                <w:tcPr/>
                <w:p>
                  <w:pPr>
                    <w:pStyle w:val="Compact"/>
                    <w:jc w:val="center"/>
                    <w:jc w:val="center"/>
                  </w:pPr>
                  <w:r>
                    <w:t xml:space="preserve">CINDACTA III</w:t>
                  </w:r>
                </w:p>
              </w:tc>
              <w:tc>
                <w:tcPr/>
                <w:p>
                  <w:pPr>
                    <w:pStyle w:val="Compact"/>
                    <w:jc w:val="center"/>
                    <w:jc w:val="center"/>
                  </w:pPr>
                  <w:r>
                    <w:t xml:space="preserve">TWR</w:t>
                  </w:r>
                </w:p>
              </w:tc>
              <w:tc>
                <w:tcPr/>
                <w:p>
                  <w:pPr>
                    <w:pStyle w:val="Compact"/>
                    <w:jc w:val="center"/>
                    <w:jc w:val="center"/>
                  </w:pPr>
                  <w:r>
                    <w:t xml:space="preserve">SBPS</w:t>
                  </w:r>
                </w:p>
              </w:tc>
              <w:tc>
                <w:tcPr/>
                <w:p>
                  <w:pPr>
                    <w:pStyle w:val="Compact"/>
                    <w:jc w:val="center"/>
                    <w:jc w:val="center"/>
                  </w:pPr>
                  <w:r>
                    <w:t xml:space="preserve">Porto Seguro</w:t>
                  </w:r>
                </w:p>
              </w:tc>
              <w:tc>
                <w:tcPr/>
                <w:p>
                  <w:pPr>
                    <w:pStyle w:val="Compact"/>
                    <w:jc w:val="center"/>
                    <w:jc w:val="center"/>
                  </w:pPr>
                  <w:r>
                    <w:t xml:space="preserve">DTCEA-PS</w:t>
                  </w:r>
                </w:p>
              </w:tc>
              <w:tc>
                <w:tcPr/>
                <w:p>
                  <w:pPr>
                    <w:pStyle w:val="Compact"/>
                    <w:jc w:val="center"/>
                    <w:jc w:val="center"/>
                  </w:pPr>
                  <w:r>
                    <w:t xml:space="preserve">DTCEA-OS</w:t>
                  </w:r>
                </w:p>
              </w:tc>
              <w:tc>
                <w:tcPr/>
                <w:p>
                  <w:pPr>
                    <w:pStyle w:val="Compact"/>
                    <w:jc w:val="center"/>
                    <w:jc w:val="center"/>
                  </w:pPr>
                  <w:r>
                    <w:t xml:space="preserve"> SINART</w:t>
                  </w:r>
                </w:p>
              </w:tc>
            </w:tr>
            <w:tr>
              <w:tc>
                <w:tcPr/>
                <w:p>
                  <w:pPr>
                    <w:pStyle w:val="Compact"/>
                    <w:jc w:val="center"/>
                    <w:jc w:val="center"/>
                  </w:pPr>
                  <w:r>
                    <w:t xml:space="preserve">CINDACTA III</w:t>
                  </w:r>
                </w:p>
              </w:tc>
              <w:tc>
                <w:tcPr/>
                <w:p>
                  <w:pPr>
                    <w:pStyle w:val="Compact"/>
                    <w:jc w:val="center"/>
                    <w:jc w:val="center"/>
                  </w:pPr>
                  <w:r>
                    <w:t xml:space="preserve">TWR</w:t>
                  </w:r>
                </w:p>
              </w:tc>
              <w:tc>
                <w:tcPr/>
                <w:p>
                  <w:pPr>
                    <w:pStyle w:val="Compact"/>
                    <w:jc w:val="center"/>
                    <w:jc w:val="center"/>
                  </w:pPr>
                  <w:r>
                    <w:t xml:space="preserve">SBRF</w:t>
                  </w:r>
                </w:p>
              </w:tc>
              <w:tc>
                <w:tcPr/>
                <w:p>
                  <w:pPr>
                    <w:pStyle w:val="Compact"/>
                    <w:jc w:val="center"/>
                    <w:jc w:val="center"/>
                  </w:pPr>
                  <w:r>
                    <w:t xml:space="preserve">Recife</w:t>
                  </w:r>
                </w:p>
              </w:tc>
              <w:tc>
                <w:tcPr/>
                <w:p>
                  <w:pPr>
                    <w:pStyle w:val="Compact"/>
                    <w:jc w:val="center"/>
                    <w:jc w:val="center"/>
                  </w:pPr>
                  <w:r>
                    <w:t xml:space="preserve">DTCEA-RF</w:t>
                  </w:r>
                </w:p>
              </w:tc>
              <w:tc>
                <w:tcPr/>
                <w:p>
                  <w:pPr>
                    <w:pStyle w:val="Compact"/>
                    <w:jc w:val="center"/>
                    <w:jc w:val="center"/>
                  </w:pPr>
                  <w:r>
                    <w:t xml:space="preserve">DTCEA-RF</w:t>
                  </w:r>
                </w:p>
              </w:tc>
              <w:tc>
                <w:tcPr/>
                <w:p>
                  <w:pPr>
                    <w:pStyle w:val="Compact"/>
                    <w:jc w:val="center"/>
                    <w:jc w:val="center"/>
                  </w:pPr>
                  <w:r>
                    <w:t xml:space="preserve"> AENA</w:t>
                  </w:r>
                </w:p>
              </w:tc>
            </w:tr>
            <w:tr>
              <w:tc>
                <w:tcPr/>
                <w:p>
                  <w:pPr>
                    <w:pStyle w:val="Compact"/>
                    <w:jc w:val="center"/>
                    <w:jc w:val="center"/>
                  </w:pPr>
                  <w:r>
                    <w:t xml:space="preserve">CINDACTA III</w:t>
                  </w:r>
                </w:p>
              </w:tc>
              <w:tc>
                <w:tcPr/>
                <w:p>
                  <w:pPr>
                    <w:pStyle w:val="Compact"/>
                    <w:jc w:val="center"/>
                    <w:jc w:val="center"/>
                  </w:pPr>
                  <w:r>
                    <w:t xml:space="preserve">TWR</w:t>
                  </w:r>
                </w:p>
              </w:tc>
              <w:tc>
                <w:tcPr/>
                <w:p>
                  <w:pPr>
                    <w:pStyle w:val="Compact"/>
                    <w:jc w:val="center"/>
                    <w:jc w:val="center"/>
                  </w:pPr>
                  <w:r>
                    <w:t xml:space="preserve">SBSL</w:t>
                  </w:r>
                </w:p>
              </w:tc>
              <w:tc>
                <w:tcPr/>
                <w:p>
                  <w:pPr>
                    <w:pStyle w:val="Compact"/>
                    <w:jc w:val="center"/>
                    <w:jc w:val="center"/>
                  </w:pPr>
                  <w:r>
                    <w:t xml:space="preserve">São Luís</w:t>
                  </w:r>
                </w:p>
              </w:tc>
              <w:tc>
                <w:tcPr/>
                <w:p>
                  <w:pPr>
                    <w:pStyle w:val="Compact"/>
                    <w:jc w:val="center"/>
                    <w:jc w:val="center"/>
                  </w:pPr>
                  <w:r>
                    <w:t xml:space="preserve">DTCEA-SL</w:t>
                  </w:r>
                </w:p>
              </w:tc>
              <w:tc>
                <w:tcPr/>
                <w:p>
                  <w:pPr>
                    <w:pStyle w:val="Compact"/>
                    <w:jc w:val="center"/>
                    <w:jc w:val="center"/>
                  </w:pPr>
                  <w:r>
                    <w:t xml:space="preserve">DTCEA-SL</w:t>
                  </w:r>
                </w:p>
              </w:tc>
              <w:tc>
                <w:tcPr/>
                <w:p>
                  <w:pPr>
                    <w:pStyle w:val="Compact"/>
                    <w:jc w:val="center"/>
                    <w:jc w:val="center"/>
                  </w:pPr>
                  <w:r>
                    <w:t xml:space="preserve"> CCR AEROPORTOS</w:t>
                  </w:r>
                </w:p>
              </w:tc>
            </w:tr>
            <w:tr>
              <w:tc>
                <w:tcPr/>
                <w:p>
                  <w:pPr>
                    <w:pStyle w:val="Compact"/>
                    <w:jc w:val="center"/>
                    <w:jc w:val="center"/>
                  </w:pPr>
                  <w:r>
                    <w:t xml:space="preserve">CINDACTA III</w:t>
                  </w:r>
                </w:p>
              </w:tc>
              <w:tc>
                <w:tcPr/>
                <w:p>
                  <w:pPr>
                    <w:pStyle w:val="Compact"/>
                    <w:jc w:val="center"/>
                    <w:jc w:val="center"/>
                  </w:pPr>
                  <w:r>
                    <w:t xml:space="preserve">TWR</w:t>
                  </w:r>
                </w:p>
              </w:tc>
              <w:tc>
                <w:tcPr/>
                <w:p>
                  <w:pPr>
                    <w:pStyle w:val="Compact"/>
                    <w:jc w:val="center"/>
                    <w:jc w:val="center"/>
                  </w:pPr>
                  <w:r>
                    <w:t xml:space="preserve">SBSV</w:t>
                  </w:r>
                </w:p>
              </w:tc>
              <w:tc>
                <w:tcPr/>
                <w:p>
                  <w:pPr>
                    <w:pStyle w:val="Compact"/>
                    <w:jc w:val="center"/>
                    <w:jc w:val="center"/>
                  </w:pPr>
                  <w:r>
                    <w:t xml:space="preserve">Salvador</w:t>
                  </w:r>
                </w:p>
              </w:tc>
              <w:tc>
                <w:tcPr/>
                <w:p>
                  <w:pPr>
                    <w:pStyle w:val="Compact"/>
                    <w:jc w:val="center"/>
                    <w:jc w:val="center"/>
                  </w:pPr>
                  <w:r>
                    <w:t xml:space="preserve">DTCEA-SV</w:t>
                  </w:r>
                </w:p>
              </w:tc>
              <w:tc>
                <w:tcPr/>
                <w:p>
                  <w:pPr>
                    <w:pStyle w:val="Compact"/>
                    <w:jc w:val="center"/>
                    <w:jc w:val="center"/>
                  </w:pPr>
                  <w:r>
                    <w:t xml:space="preserve">DTCEA-SV</w:t>
                  </w:r>
                </w:p>
              </w:tc>
              <w:tc>
                <w:tcPr/>
                <w:p>
                  <w:pPr>
                    <w:pStyle w:val="Compact"/>
                    <w:jc w:val="center"/>
                    <w:jc w:val="center"/>
                  </w:pPr>
                  <w:r>
                    <w:t xml:space="preserve"> VINCI AIRPORTS</w:t>
                  </w:r>
                </w:p>
              </w:tc>
            </w:tr>
            <w:tr>
              <w:tc>
                <w:tcPr/>
                <w:p>
                  <w:pPr>
                    <w:pStyle w:val="Compact"/>
                    <w:jc w:val="center"/>
                    <w:jc w:val="center"/>
                  </w:pPr>
                  <w:r>
                    <w:t xml:space="preserve">CINDACTA III</w:t>
                  </w:r>
                </w:p>
              </w:tc>
              <w:tc>
                <w:tcPr/>
                <w:p>
                  <w:pPr>
                    <w:pStyle w:val="Compact"/>
                    <w:jc w:val="center"/>
                    <w:jc w:val="center"/>
                  </w:pPr>
                  <w:r>
                    <w:t xml:space="preserve">TWR</w:t>
                  </w:r>
                </w:p>
              </w:tc>
              <w:tc>
                <w:tcPr/>
                <w:p>
                  <w:pPr>
                    <w:pStyle w:val="Compact"/>
                    <w:jc w:val="center"/>
                    <w:jc w:val="center"/>
                  </w:pPr>
                  <w:r>
                    <w:t xml:space="preserve">SBSG</w:t>
                  </w:r>
                </w:p>
              </w:tc>
              <w:tc>
                <w:tcPr/>
                <w:p>
                  <w:pPr>
                    <w:pStyle w:val="Compact"/>
                    <w:jc w:val="center"/>
                    <w:jc w:val="center"/>
                  </w:pPr>
                  <w:r>
                    <w:t xml:space="preserve">São Gonçalo do Amarante</w:t>
                  </w:r>
                </w:p>
              </w:tc>
              <w:tc>
                <w:tcPr/>
                <w:p>
                  <w:pPr>
                    <w:pStyle w:val="Compact"/>
                    <w:jc w:val="center"/>
                    <w:jc w:val="center"/>
                  </w:pPr>
                  <w:r>
                    <w:t xml:space="preserve">INFRAMERICA</w:t>
                  </w:r>
                </w:p>
              </w:tc>
              <w:tc>
                <w:tcPr/>
                <w:p>
                  <w:pPr>
                    <w:pStyle w:val="Compact"/>
                    <w:jc w:val="center"/>
                    <w:jc w:val="center"/>
                  </w:pPr>
                  <w:r>
                    <w:t xml:space="preserve">INFRAMERICA</w:t>
                  </w:r>
                </w:p>
              </w:tc>
              <w:tc>
                <w:tcPr/>
                <w:p>
                  <w:pPr>
                    <w:pStyle w:val="Compact"/>
                    <w:jc w:val="center"/>
                    <w:jc w:val="center"/>
                  </w:pPr>
                  <w:r>
                    <w:t xml:space="preserve">ZURICH AIRPORT BRASIL</w:t>
                  </w:r>
                </w:p>
              </w:tc>
            </w:tr>
            <w:tr>
              <w:tc>
                <w:tcPr/>
                <w:p>
                  <w:pPr>
                    <w:pStyle w:val="Compact"/>
                    <w:jc w:val="center"/>
                    <w:jc w:val="center"/>
                  </w:pPr>
                  <w:r>
                    <w:t xml:space="preserve">CINDACTA III</w:t>
                  </w:r>
                </w:p>
              </w:tc>
              <w:tc>
                <w:tcPr/>
                <w:p>
                  <w:pPr>
                    <w:pStyle w:val="Compact"/>
                    <w:jc w:val="center"/>
                    <w:jc w:val="center"/>
                  </w:pPr>
                  <w:r>
                    <w:t xml:space="preserve">TWR</w:t>
                  </w:r>
                </w:p>
              </w:tc>
              <w:tc>
                <w:tcPr/>
                <w:p>
                  <w:pPr>
                    <w:pStyle w:val="Compact"/>
                    <w:jc w:val="center"/>
                    <w:jc w:val="center"/>
                  </w:pPr>
                  <w:r>
                    <w:t xml:space="preserve">SBTE</w:t>
                  </w:r>
                </w:p>
              </w:tc>
              <w:tc>
                <w:tcPr/>
                <w:p>
                  <w:pPr>
                    <w:pStyle w:val="Compact"/>
                    <w:jc w:val="center"/>
                    <w:jc w:val="center"/>
                  </w:pPr>
                  <w:r>
                    <w:t xml:space="preserve">Teresina</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CCR AEROPORTOS</w:t>
                  </w:r>
                </w:p>
              </w:tc>
            </w:tr>
            <w:tr>
              <w:tc>
                <w:tcPr/>
                <w:p>
                  <w:pPr>
                    <w:pStyle w:val="Compact"/>
                    <w:jc w:val="center"/>
                    <w:jc w:val="center"/>
                  </w:pPr>
                  <w:r>
                    <w:t xml:space="preserve">CINDACTA III</w:t>
                  </w:r>
                </w:p>
              </w:tc>
              <w:tc>
                <w:tcPr/>
                <w:p>
                  <w:pPr>
                    <w:pStyle w:val="Compact"/>
                    <w:jc w:val="center"/>
                    <w:jc w:val="center"/>
                  </w:pPr>
                  <w:r>
                    <w:t xml:space="preserve">TWR</w:t>
                  </w:r>
                </w:p>
              </w:tc>
              <w:tc>
                <w:tcPr/>
                <w:p>
                  <w:pPr>
                    <w:pStyle w:val="Compact"/>
                    <w:jc w:val="center"/>
                    <w:jc w:val="center"/>
                  </w:pPr>
                  <w:r>
                    <w:t xml:space="preserve">SBVT</w:t>
                  </w:r>
                </w:p>
              </w:tc>
              <w:tc>
                <w:tcPr/>
                <w:p>
                  <w:pPr>
                    <w:pStyle w:val="Compact"/>
                    <w:jc w:val="center"/>
                    <w:jc w:val="center"/>
                  </w:pPr>
                  <w:r>
                    <w:t xml:space="preserve">Vitória</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ZURICH AIRPORT BRASIL</w:t>
                  </w:r>
                </w:p>
              </w:tc>
            </w:tr>
            <w:tr>
              <w:tc>
                <w:tcPr/>
                <w:p>
                  <w:pPr>
                    <w:pStyle w:val="Compact"/>
                    <w:jc w:val="center"/>
                    <w:jc w:val="center"/>
                  </w:pPr>
                  <w:r>
                    <w:t xml:space="preserve">CINDACTA III</w:t>
                  </w:r>
                </w:p>
              </w:tc>
              <w:tc>
                <w:tcPr/>
                <w:p>
                  <w:pPr>
                    <w:pStyle w:val="Compact"/>
                    <w:jc w:val="center"/>
                    <w:jc w:val="center"/>
                  </w:pPr>
                  <w:r>
                    <w:t xml:space="preserve">AFIS</w:t>
                  </w:r>
                </w:p>
              </w:tc>
              <w:tc>
                <w:tcPr/>
                <w:p>
                  <w:pPr>
                    <w:pStyle w:val="Compact"/>
                    <w:jc w:val="center"/>
                    <w:jc w:val="center"/>
                  </w:pPr>
                  <w:r>
                    <w:t xml:space="preserve">SBAC</w:t>
                  </w:r>
                </w:p>
              </w:tc>
              <w:tc>
                <w:tcPr/>
                <w:p>
                  <w:pPr>
                    <w:pStyle w:val="Compact"/>
                    <w:jc w:val="center"/>
                    <w:jc w:val="center"/>
                  </w:pPr>
                  <w:r>
                    <w:t xml:space="preserve">Aracati</w:t>
                  </w:r>
                </w:p>
              </w:tc>
              <w:tc>
                <w:tcPr/>
                <w:p>
                  <w:pPr>
                    <w:pStyle w:val="Compact"/>
                    <w:jc w:val="center"/>
                    <w:jc w:val="center"/>
                  </w:pPr>
                  <w:r>
                    <w:t xml:space="preserve">INFRAERO</w:t>
                  </w:r>
                </w:p>
              </w:tc>
              <w:tc>
                <w:tcPr/>
                <w:p>
                  <w:pPr>
                    <w:pStyle w:val="Compact"/>
                    <w:jc w:val="center"/>
                    <w:jc w:val="center"/>
                  </w:pPr>
                  <w:r>
                    <w:t xml:space="preserve">EPTA ARACATI</w:t>
                  </w:r>
                </w:p>
              </w:tc>
              <w:tc>
                <w:tcPr/>
                <w:p>
                  <w:pPr>
                    <w:pStyle w:val="Compact"/>
                    <w:jc w:val="center"/>
                    <w:jc w:val="center"/>
                  </w:pPr>
                  <w:r>
                    <w:t xml:space="preserve">GOVERNO DO ESTADO</w:t>
                  </w:r>
                </w:p>
              </w:tc>
            </w:tr>
            <w:tr>
              <w:tc>
                <w:tcPr/>
                <w:p>
                  <w:pPr>
                    <w:pStyle w:val="Compact"/>
                    <w:jc w:val="center"/>
                    <w:jc w:val="center"/>
                  </w:pPr>
                  <w:r>
                    <w:t xml:space="preserve">CINDACTA III</w:t>
                  </w:r>
                </w:p>
              </w:tc>
              <w:tc>
                <w:tcPr/>
                <w:p>
                  <w:pPr>
                    <w:pStyle w:val="Compact"/>
                    <w:jc w:val="center"/>
                    <w:jc w:val="center"/>
                  </w:pPr>
                  <w:r>
                    <w:t xml:space="preserve">AFIS</w:t>
                  </w:r>
                </w:p>
              </w:tc>
              <w:tc>
                <w:tcPr/>
                <w:p>
                  <w:pPr>
                    <w:pStyle w:val="Compact"/>
                    <w:jc w:val="center"/>
                    <w:jc w:val="center"/>
                  </w:pPr>
                  <w:r>
                    <w:t xml:space="preserve">SBKG</w:t>
                  </w:r>
                </w:p>
              </w:tc>
              <w:tc>
                <w:tcPr/>
                <w:p>
                  <w:pPr>
                    <w:pStyle w:val="Compact"/>
                    <w:jc w:val="center"/>
                    <w:jc w:val="center"/>
                  </w:pPr>
                  <w:r>
                    <w:t xml:space="preserve">Campina Grande</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AENA</w:t>
                  </w:r>
                </w:p>
              </w:tc>
            </w:tr>
            <w:tr>
              <w:tc>
                <w:tcPr/>
                <w:p>
                  <w:pPr>
                    <w:pStyle w:val="Compact"/>
                    <w:jc w:val="center"/>
                    <w:jc w:val="center"/>
                  </w:pPr>
                  <w:r>
                    <w:t xml:space="preserve">CINDACTA III</w:t>
                  </w:r>
                </w:p>
              </w:tc>
              <w:tc>
                <w:tcPr/>
                <w:p>
                  <w:pPr>
                    <w:pStyle w:val="Compact"/>
                    <w:jc w:val="center"/>
                    <w:jc w:val="center"/>
                  </w:pPr>
                  <w:r>
                    <w:t xml:space="preserve">AFIS</w:t>
                  </w:r>
                </w:p>
              </w:tc>
              <w:tc>
                <w:tcPr/>
                <w:p>
                  <w:pPr>
                    <w:pStyle w:val="Compact"/>
                    <w:jc w:val="center"/>
                    <w:jc w:val="center"/>
                  </w:pPr>
                  <w:r>
                    <w:t xml:space="preserve">SBTC</w:t>
                  </w:r>
                </w:p>
              </w:tc>
              <w:tc>
                <w:tcPr/>
                <w:p>
                  <w:pPr>
                    <w:pStyle w:val="Compact"/>
                    <w:jc w:val="center"/>
                    <w:jc w:val="center"/>
                  </w:pPr>
                  <w:r>
                    <w:t xml:space="preserve">Hotel Transamérica - Comandatuba</w:t>
                  </w:r>
                </w:p>
              </w:tc>
              <w:tc>
                <w:tcPr/>
                <w:p>
                  <w:pPr>
                    <w:pStyle w:val="Compact"/>
                    <w:jc w:val="center"/>
                    <w:jc w:val="center"/>
                  </w:pPr>
                  <w:r>
                    <w:t xml:space="preserve">Transamérica de Hotéis Nordeste Ltda</w:t>
                  </w:r>
                </w:p>
              </w:tc>
              <w:tc>
                <w:tcPr/>
                <w:p>
                  <w:pPr>
                    <w:pStyle w:val="Compact"/>
                    <w:jc w:val="center"/>
                    <w:jc w:val="center"/>
                  </w:pPr>
                  <w:r>
                    <w:t xml:space="preserve">Transamérica de Hotéis Nordeste Ltda</w:t>
                  </w:r>
                </w:p>
              </w:tc>
              <w:tc>
                <w:tcPr/>
                <w:p>
                  <w:pPr>
                    <w:pStyle w:val="Compact"/>
                    <w:jc w:val="center"/>
                    <w:jc w:val="center"/>
                  </w:pPr>
                  <w:r>
                    <w:t xml:space="preserve">Hotel Transamérica - Comandatuba</w:t>
                  </w:r>
                </w:p>
              </w:tc>
            </w:tr>
            <w:tr>
              <w:tc>
                <w:tcPr/>
                <w:p>
                  <w:pPr>
                    <w:pStyle w:val="Compact"/>
                    <w:jc w:val="center"/>
                    <w:jc w:val="center"/>
                  </w:pPr>
                  <w:r>
                    <w:t xml:space="preserve">CINDACTA III</w:t>
                  </w:r>
                </w:p>
              </w:tc>
              <w:tc>
                <w:tcPr/>
                <w:p>
                  <w:pPr>
                    <w:pStyle w:val="Compact"/>
                    <w:jc w:val="center"/>
                    <w:jc w:val="center"/>
                  </w:pPr>
                  <w:r>
                    <w:t xml:space="preserve">AFIS</w:t>
                  </w:r>
                </w:p>
              </w:tc>
              <w:tc>
                <w:tcPr/>
                <w:p>
                  <w:pPr>
                    <w:pStyle w:val="Compact"/>
                    <w:jc w:val="center"/>
                    <w:jc w:val="center"/>
                  </w:pPr>
                  <w:r>
                    <w:t xml:space="preserve">SBVC</w:t>
                  </w:r>
                </w:p>
              </w:tc>
              <w:tc>
                <w:tcPr/>
                <w:p>
                  <w:pPr>
                    <w:pStyle w:val="Compact"/>
                    <w:jc w:val="center"/>
                    <w:jc w:val="center"/>
                  </w:pPr>
                  <w:r>
                    <w:t xml:space="preserve">Vitória da Conquista</w:t>
                  </w:r>
                </w:p>
              </w:tc>
              <w:tc>
                <w:tcPr/>
                <w:p>
                  <w:pPr>
                    <w:pStyle w:val="Compact"/>
                    <w:jc w:val="center"/>
                    <w:jc w:val="center"/>
                  </w:pPr>
                  <w:r>
                    <w:t xml:space="preserve">SOCICAM</w:t>
                  </w:r>
                </w:p>
              </w:tc>
              <w:tc>
                <w:tcPr/>
                <w:p>
                  <w:pPr>
                    <w:pStyle w:val="Compact"/>
                    <w:jc w:val="center"/>
                    <w:jc w:val="center"/>
                  </w:pPr>
                  <w:r>
                    <w:t xml:space="preserve">SOCICAM</w:t>
                  </w:r>
                </w:p>
              </w:tc>
              <w:tc>
                <w:tcPr/>
                <w:p>
                  <w:pPr>
                    <w:pStyle w:val="Compact"/>
                    <w:jc w:val="center"/>
                    <w:jc w:val="center"/>
                  </w:pPr>
                  <w:r>
                    <w:t xml:space="preserve">SOCICAM</w:t>
                  </w:r>
                </w:p>
              </w:tc>
            </w:tr>
            <w:tr>
              <w:tc>
                <w:tcPr/>
                <w:p>
                  <w:pPr>
                    <w:pStyle w:val="Compact"/>
                    <w:jc w:val="center"/>
                    <w:jc w:val="center"/>
                  </w:pPr>
                  <w:r>
                    <w:t xml:space="preserve">CINDACTA III</w:t>
                  </w:r>
                </w:p>
              </w:tc>
              <w:tc>
                <w:tcPr/>
                <w:p>
                  <w:pPr>
                    <w:pStyle w:val="Compact"/>
                    <w:jc w:val="center"/>
                    <w:jc w:val="center"/>
                  </w:pPr>
                  <w:r>
                    <w:t xml:space="preserve">AFIS</w:t>
                  </w:r>
                </w:p>
              </w:tc>
              <w:tc>
                <w:tcPr/>
                <w:p>
                  <w:pPr>
                    <w:pStyle w:val="Compact"/>
                    <w:jc w:val="center"/>
                    <w:jc w:val="center"/>
                  </w:pPr>
                  <w:r>
                    <w:t xml:space="preserve">SBIZ</w:t>
                  </w:r>
                </w:p>
              </w:tc>
              <w:tc>
                <w:tcPr/>
                <w:p>
                  <w:pPr>
                    <w:pStyle w:val="Compact"/>
                    <w:jc w:val="center"/>
                    <w:jc w:val="center"/>
                  </w:pPr>
                  <w:r>
                    <w:t xml:space="preserve">Imperatriz</w:t>
                  </w:r>
                </w:p>
              </w:tc>
              <w:tc>
                <w:tcPr/>
                <w:p>
                  <w:pPr>
                    <w:pStyle w:val="Compact"/>
                    <w:jc w:val="center"/>
                    <w:jc w:val="center"/>
                  </w:pPr>
                  <w:r>
                    <w:t xml:space="preserve"> NAV BRASIL</w:t>
                  </w:r>
                </w:p>
              </w:tc>
              <w:tc>
                <w:tcPr/>
                <w:p>
                  <w:pPr>
                    <w:pStyle w:val="Compact"/>
                    <w:jc w:val="center"/>
                    <w:jc w:val="center"/>
                  </w:pPr>
                  <w:r>
                    <w:t xml:space="preserve">DNB</w:t>
                  </w:r>
                </w:p>
              </w:tc>
              <w:tc>
                <w:tcPr/>
                <w:p>
                  <w:pPr>
                    <w:pStyle w:val="Compact"/>
                    <w:jc w:val="center"/>
                    <w:jc w:val="center"/>
                  </w:pPr>
                  <w:r>
                    <w:t xml:space="preserve"> CCR AEROPORTOS</w:t>
                  </w:r>
                </w:p>
              </w:tc>
            </w:tr>
            <w:tr>
              <w:tc>
                <w:tcPr/>
                <w:p>
                  <w:pPr>
                    <w:pStyle w:val="Compact"/>
                    <w:jc w:val="center"/>
                    <w:jc w:val="center"/>
                  </w:pPr>
                  <w:r>
                    <w:t xml:space="preserve">CINDACTA III</w:t>
                  </w:r>
                </w:p>
              </w:tc>
              <w:tc>
                <w:tcPr/>
                <w:p>
                  <w:pPr>
                    <w:pStyle w:val="Compact"/>
                    <w:jc w:val="center"/>
                    <w:jc w:val="center"/>
                  </w:pPr>
                  <w:r>
                    <w:t xml:space="preserve">AFIS</w:t>
                  </w:r>
                </w:p>
              </w:tc>
              <w:tc>
                <w:tcPr/>
                <w:p>
                  <w:pPr>
                    <w:pStyle w:val="Compact"/>
                    <w:jc w:val="center"/>
                    <w:jc w:val="center"/>
                  </w:pPr>
                  <w:r>
                    <w:t xml:space="preserve">SBJE</w:t>
                  </w:r>
                </w:p>
              </w:tc>
              <w:tc>
                <w:tcPr/>
                <w:p>
                  <w:pPr>
                    <w:pStyle w:val="Compact"/>
                    <w:jc w:val="center"/>
                    <w:jc w:val="center"/>
                  </w:pPr>
                  <w:r>
                    <w:t xml:space="preserve">Jericoacoara</w:t>
                  </w:r>
                </w:p>
              </w:tc>
              <w:tc>
                <w:tcPr/>
                <w:p>
                  <w:pPr>
                    <w:pStyle w:val="Compact"/>
                    <w:jc w:val="center"/>
                    <w:jc w:val="center"/>
                  </w:pPr>
                  <w:r>
                    <w:t xml:space="preserve"> INFRAERO</w:t>
                  </w:r>
                </w:p>
              </w:tc>
              <w:tc>
                <w:tcPr/>
                <w:p>
                  <w:pPr>
                    <w:pStyle w:val="Compact"/>
                    <w:jc w:val="center"/>
                    <w:jc w:val="center"/>
                  </w:pPr>
                  <w:r>
                    <w:t xml:space="preserve">EPTA JERI</w:t>
                  </w:r>
                </w:p>
              </w:tc>
              <w:tc>
                <w:tcPr/>
                <w:p>
                  <w:pPr>
                    <w:pStyle w:val="Compact"/>
                    <w:jc w:val="center"/>
                    <w:jc w:val="center"/>
                  </w:pPr>
                  <w:r>
                    <w:t xml:space="preserve">SOCICAM</w:t>
                  </w:r>
                </w:p>
              </w:tc>
            </w:tr>
            <w:tr>
              <w:tc>
                <w:tcPr/>
                <w:p>
                  <w:pPr>
                    <w:pStyle w:val="Compact"/>
                    <w:jc w:val="center"/>
                    <w:jc w:val="center"/>
                  </w:pPr>
                  <w:r>
                    <w:t xml:space="preserve">CINDACTA III</w:t>
                  </w:r>
                </w:p>
              </w:tc>
              <w:tc>
                <w:tcPr/>
                <w:p>
                  <w:pPr>
                    <w:pStyle w:val="Compact"/>
                    <w:jc w:val="center"/>
                    <w:jc w:val="center"/>
                  </w:pPr>
                  <w:r>
                    <w:t xml:space="preserve">AFIS</w:t>
                  </w:r>
                </w:p>
              </w:tc>
              <w:tc>
                <w:tcPr/>
                <w:p>
                  <w:pPr>
                    <w:pStyle w:val="Compact"/>
                    <w:jc w:val="center"/>
                    <w:jc w:val="center"/>
                  </w:pPr>
                  <w:r>
                    <w:t xml:space="preserve">SBJU</w:t>
                  </w:r>
                </w:p>
              </w:tc>
              <w:tc>
                <w:tcPr/>
                <w:p>
                  <w:pPr>
                    <w:pStyle w:val="Compact"/>
                    <w:jc w:val="center"/>
                    <w:jc w:val="center"/>
                  </w:pPr>
                  <w:r>
                    <w:t xml:space="preserve">Juazeiro</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AENA</w:t>
                  </w:r>
                </w:p>
              </w:tc>
            </w:tr>
            <w:tr>
              <w:tc>
                <w:tcPr/>
                <w:p>
                  <w:pPr>
                    <w:pStyle w:val="Compact"/>
                    <w:jc w:val="center"/>
                    <w:jc w:val="center"/>
                  </w:pPr>
                  <w:r>
                    <w:t xml:space="preserve">CINDACTA III</w:t>
                  </w:r>
                </w:p>
              </w:tc>
              <w:tc>
                <w:tcPr/>
                <w:p>
                  <w:pPr>
                    <w:pStyle w:val="Compact"/>
                    <w:jc w:val="center"/>
                    <w:jc w:val="center"/>
                  </w:pPr>
                  <w:r>
                    <w:t xml:space="preserve">AFIS</w:t>
                  </w:r>
                </w:p>
              </w:tc>
              <w:tc>
                <w:tcPr/>
                <w:p>
                  <w:pPr>
                    <w:pStyle w:val="Compact"/>
                    <w:jc w:val="center"/>
                    <w:jc w:val="center"/>
                  </w:pPr>
                  <w:r>
                    <w:t xml:space="preserve">SBMS</w:t>
                  </w:r>
                </w:p>
              </w:tc>
              <w:tc>
                <w:tcPr/>
                <w:p>
                  <w:pPr>
                    <w:pStyle w:val="Compact"/>
                    <w:jc w:val="center"/>
                    <w:jc w:val="center"/>
                  </w:pPr>
                  <w:r>
                    <w:t xml:space="preserve">Mossoró</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INFRAERO</w:t>
                  </w:r>
                </w:p>
              </w:tc>
            </w:tr>
            <w:tr>
              <w:tc>
                <w:tcPr/>
                <w:p>
                  <w:pPr>
                    <w:pStyle w:val="Compact"/>
                    <w:jc w:val="center"/>
                    <w:jc w:val="center"/>
                  </w:pPr>
                  <w:r>
                    <w:t xml:space="preserve">CINDACTA III</w:t>
                  </w:r>
                </w:p>
              </w:tc>
              <w:tc>
                <w:tcPr/>
                <w:p>
                  <w:pPr>
                    <w:pStyle w:val="Compact"/>
                    <w:jc w:val="center"/>
                    <w:jc w:val="center"/>
                  </w:pPr>
                  <w:r>
                    <w:t xml:space="preserve">AFIS</w:t>
                  </w:r>
                </w:p>
              </w:tc>
              <w:tc>
                <w:tcPr/>
                <w:p>
                  <w:pPr>
                    <w:pStyle w:val="Compact"/>
                    <w:jc w:val="center"/>
                    <w:jc w:val="center"/>
                  </w:pPr>
                  <w:r>
                    <w:t xml:space="preserve">SBPB</w:t>
                  </w:r>
                </w:p>
              </w:tc>
              <w:tc>
                <w:tcPr/>
                <w:p>
                  <w:pPr>
                    <w:pStyle w:val="Compact"/>
                    <w:jc w:val="center"/>
                    <w:jc w:val="center"/>
                  </w:pPr>
                  <w:r>
                    <w:t xml:space="preserve">Parnaíba</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AeroPHB</w:t>
                  </w:r>
                </w:p>
              </w:tc>
            </w:tr>
            <w:tr>
              <w:tc>
                <w:tcPr/>
                <w:p>
                  <w:pPr>
                    <w:pStyle w:val="Compact"/>
                    <w:jc w:val="center"/>
                    <w:jc w:val="center"/>
                  </w:pPr>
                  <w:r>
                    <w:t xml:space="preserve">CINDACTA III</w:t>
                  </w:r>
                </w:p>
              </w:tc>
              <w:tc>
                <w:tcPr/>
                <w:p>
                  <w:pPr>
                    <w:pStyle w:val="Compact"/>
                    <w:jc w:val="center"/>
                    <w:jc w:val="center"/>
                  </w:pPr>
                  <w:r>
                    <w:t xml:space="preserve">AFIS</w:t>
                  </w:r>
                </w:p>
              </w:tc>
              <w:tc>
                <w:tcPr/>
                <w:p>
                  <w:pPr>
                    <w:pStyle w:val="Compact"/>
                    <w:jc w:val="center"/>
                    <w:jc w:val="center"/>
                  </w:pPr>
                  <w:r>
                    <w:t xml:space="preserve">SBUF</w:t>
                  </w:r>
                </w:p>
              </w:tc>
              <w:tc>
                <w:tcPr/>
                <w:p>
                  <w:pPr>
                    <w:pStyle w:val="Compact"/>
                    <w:jc w:val="center"/>
                    <w:jc w:val="center"/>
                  </w:pPr>
                  <w:r>
                    <w:t xml:space="preserve">Paulo Afonso</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INFRAERO</w:t>
                  </w:r>
                </w:p>
              </w:tc>
            </w:tr>
            <w:tr>
              <w:tc>
                <w:tcPr/>
                <w:p>
                  <w:pPr>
                    <w:pStyle w:val="Compact"/>
                    <w:jc w:val="center"/>
                    <w:jc w:val="center"/>
                  </w:pPr>
                  <w:r>
                    <w:t xml:space="preserve">CINDACTA III</w:t>
                  </w:r>
                </w:p>
              </w:tc>
              <w:tc>
                <w:tcPr/>
                <w:p>
                  <w:pPr>
                    <w:pStyle w:val="Compact"/>
                    <w:jc w:val="center"/>
                    <w:jc w:val="center"/>
                  </w:pPr>
                  <w:r>
                    <w:t xml:space="preserve">AFIS</w:t>
                  </w:r>
                </w:p>
              </w:tc>
              <w:tc>
                <w:tcPr/>
                <w:p>
                  <w:pPr>
                    <w:pStyle w:val="Compact"/>
                    <w:jc w:val="center"/>
                    <w:jc w:val="center"/>
                  </w:pPr>
                  <w:r>
                    <w:t xml:space="preserve">SBPL</w:t>
                  </w:r>
                </w:p>
              </w:tc>
              <w:tc>
                <w:tcPr/>
                <w:p>
                  <w:pPr>
                    <w:pStyle w:val="Compact"/>
                    <w:jc w:val="center"/>
                    <w:jc w:val="center"/>
                  </w:pPr>
                  <w:r>
                    <w:t xml:space="preserve">Petrolina</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CCR AEROPORTOS</w:t>
                  </w:r>
                </w:p>
              </w:tc>
            </w:tr>
            <w:tr>
              <w:tc>
                <w:tcPr/>
                <w:p>
                  <w:pPr>
                    <w:pStyle w:val="Compact"/>
                    <w:jc w:val="center"/>
                    <w:jc w:val="center"/>
                  </w:pPr>
                  <w:r>
                    <w:t xml:space="preserve">CINDACTA III</w:t>
                  </w:r>
                </w:p>
              </w:tc>
              <w:tc>
                <w:tcPr/>
                <w:p>
                  <w:pPr>
                    <w:pStyle w:val="Compact"/>
                    <w:jc w:val="center"/>
                    <w:jc w:val="center"/>
                  </w:pPr>
                  <w:r>
                    <w:t xml:space="preserve">AFIS</w:t>
                  </w:r>
                </w:p>
              </w:tc>
              <w:tc>
                <w:tcPr/>
                <w:p>
                  <w:pPr>
                    <w:pStyle w:val="Compact"/>
                    <w:jc w:val="center"/>
                    <w:jc w:val="center"/>
                  </w:pPr>
                  <w:r>
                    <w:t xml:space="preserve">SBTV</w:t>
                  </w:r>
                </w:p>
              </w:tc>
              <w:tc>
                <w:tcPr/>
                <w:p>
                  <w:pPr>
                    <w:pStyle w:val="Compact"/>
                    <w:jc w:val="center"/>
                    <w:jc w:val="center"/>
                  </w:pPr>
                  <w:r>
                    <w:t xml:space="preserve">Terravista</w:t>
                  </w:r>
                </w:p>
              </w:tc>
              <w:tc>
                <w:tcPr/>
                <w:p>
                  <w:pPr>
                    <w:pStyle w:val="Compact"/>
                    <w:jc w:val="center"/>
                    <w:jc w:val="center"/>
                  </w:pPr>
                  <w:r>
                    <w:t xml:space="preserve">Terravista Empreendimentos</w:t>
                  </w:r>
                </w:p>
              </w:tc>
              <w:tc>
                <w:tcPr/>
                <w:p>
                  <w:pPr>
                    <w:pStyle w:val="Compact"/>
                    <w:jc w:val="center"/>
                    <w:jc w:val="center"/>
                  </w:pPr>
                  <w:r>
                    <w:t xml:space="preserve">Terravista Empreendimentos</w:t>
                  </w:r>
                </w:p>
              </w:tc>
              <w:tc>
                <w:tcPr/>
                <w:p>
                  <w:pPr>
                    <w:pStyle w:val="Compact"/>
                    <w:jc w:val="center"/>
                    <w:jc w:val="center"/>
                  </w:pPr>
                  <w:r>
                    <w:t xml:space="preserve">Terravista Empreendimentos</w:t>
                  </w:r>
                </w:p>
              </w:tc>
            </w:tr>
            <w:tr>
              <w:tc>
                <w:tcPr/>
                <w:p>
                  <w:pPr>
                    <w:pStyle w:val="Compact"/>
                    <w:jc w:val="center"/>
                    <w:jc w:val="center"/>
                  </w:pPr>
                  <w:r>
                    <w:t xml:space="preserve">CINDACTA III</w:t>
                  </w:r>
                </w:p>
              </w:tc>
              <w:tc>
                <w:tcPr/>
                <w:p>
                  <w:pPr>
                    <w:pStyle w:val="Compact"/>
                    <w:jc w:val="center"/>
                    <w:jc w:val="center"/>
                  </w:pPr>
                  <w:r>
                    <w:t xml:space="preserve">AFIS</w:t>
                  </w:r>
                </w:p>
              </w:tc>
              <w:tc>
                <w:tcPr/>
                <w:p>
                  <w:pPr>
                    <w:pStyle w:val="Compact"/>
                    <w:jc w:val="center"/>
                    <w:jc w:val="center"/>
                  </w:pPr>
                  <w:r>
                    <w:t xml:space="preserve">SBGV</w:t>
                  </w:r>
                </w:p>
              </w:tc>
              <w:tc>
                <w:tcPr/>
                <w:p>
                  <w:pPr>
                    <w:pStyle w:val="Compact"/>
                    <w:jc w:val="center"/>
                    <w:jc w:val="center"/>
                  </w:pPr>
                  <w:r>
                    <w:t xml:space="preserve">Valadares</w:t>
                  </w:r>
                </w:p>
              </w:tc>
              <w:tc>
                <w:tcPr/>
                <w:p>
                  <w:pPr>
                    <w:pStyle w:val="Compact"/>
                    <w:jc w:val="center"/>
                    <w:jc w:val="center"/>
                  </w:pPr>
                  <w:r>
                    <w:t xml:space="preserve">PREFEITURA</w:t>
                  </w:r>
                </w:p>
              </w:tc>
              <w:tc>
                <w:tcPr/>
                <w:p>
                  <w:pPr>
                    <w:pStyle w:val="Compact"/>
                    <w:jc w:val="center"/>
                    <w:jc w:val="center"/>
                  </w:pPr>
                  <w:r>
                    <w:t xml:space="preserve">Municipal</w:t>
                  </w:r>
                </w:p>
              </w:tc>
              <w:tc>
                <w:tcPr/>
                <w:p>
                  <w:pPr>
                    <w:pStyle w:val="Compact"/>
                    <w:jc w:val="center"/>
                    <w:jc w:val="center"/>
                  </w:pPr>
                  <w:r>
                    <w:t xml:space="preserve"> INFRAERO</w:t>
                  </w:r>
                </w:p>
              </w:tc>
            </w:tr>
            <w:tr>
              <w:tc>
                <w:tcPr/>
                <w:p>
                  <w:pPr>
                    <w:pStyle w:val="Compact"/>
                    <w:jc w:val="center"/>
                    <w:jc w:val="center"/>
                  </w:pPr>
                  <w:r>
                    <w:t xml:space="preserve">CINDACTA III</w:t>
                  </w:r>
                </w:p>
              </w:tc>
              <w:tc>
                <w:tcPr/>
                <w:p>
                  <w:pPr>
                    <w:pStyle w:val="Compact"/>
                    <w:jc w:val="center"/>
                    <w:jc w:val="center"/>
                  </w:pPr>
                  <w:r>
                    <w:t xml:space="preserve">R-AFIS</w:t>
                  </w:r>
                </w:p>
              </w:tc>
              <w:tc>
                <w:tcPr/>
                <w:p>
                  <w:pPr>
                    <w:pStyle w:val="Compact"/>
                    <w:jc w:val="center"/>
                    <w:jc w:val="center"/>
                  </w:pPr>
                  <w:r>
                    <w:t xml:space="preserve">SBFN</w:t>
                  </w:r>
                </w:p>
              </w:tc>
              <w:tc>
                <w:tcPr/>
                <w:p>
                  <w:pPr>
                    <w:pStyle w:val="Compact"/>
                    <w:jc w:val="center"/>
                    <w:jc w:val="center"/>
                  </w:pPr>
                  <w:r>
                    <w:t xml:space="preserve">Fernando de Noronha</w:t>
                  </w:r>
                </w:p>
              </w:tc>
              <w:tc>
                <w:tcPr/>
                <w:p>
                  <w:pPr>
                    <w:pStyle w:val="Compact"/>
                    <w:jc w:val="center"/>
                    <w:jc w:val="center"/>
                  </w:pPr>
                  <w:r>
                    <w:t xml:space="preserve">DTCEA-FN</w:t>
                  </w:r>
                </w:p>
              </w:tc>
              <w:tc>
                <w:tcPr/>
                <w:p>
                  <w:pPr>
                    <w:pStyle w:val="Compact"/>
                    <w:jc w:val="center"/>
                    <w:jc w:val="center"/>
                  </w:pPr>
                  <w:r>
                    <w:t xml:space="preserve">DTCEA-FN</w:t>
                  </w:r>
                </w:p>
              </w:tc>
              <w:tc>
                <w:tcPr/>
                <w:p>
                  <w:pPr>
                    <w:pStyle w:val="Compact"/>
                    <w:jc w:val="center"/>
                    <w:jc w:val="center"/>
                  </w:pPr>
                  <w:r>
                    <w:t xml:space="preserve"> DIX AEROPORTOS</w:t>
                  </w:r>
                </w:p>
              </w:tc>
            </w:tr>
          </w:tbl>
          <w:bookmarkEnd w:id="498"/>
          <w:p/>
        </w:tc>
      </w:tr>
    </w:tbl>
    <w:p>
      <w:pPr>
        <w:pStyle w:val="Corpodetexto"/>
      </w:pPr>
      <w:r>
        <w:rPr>
          <w:b/>
          <w:bCs/>
        </w:rPr>
        <w:t xml:space="preserve">CINDACTA IV</w:t>
      </w:r>
    </w:p>
    <w:p>
      <w:pPr>
        <w:pStyle w:val="Corpodetexto"/>
      </w:pPr>
      <w:r>
        <w:t xml:space="preserve">O CINDACTA IV é composto por 1 ACC, 8 APP, 8 TWR, 14 AFIS e 6 R-AFIS. Em determinados horários, alguns APP e TWR operam como AFIS, conforme especificado na</w:t>
      </w:r>
      <w:r>
        <w:t xml:space="preserve"> </w:t>
      </w:r>
      <w:hyperlink w:anchor="tbl-quadro-cindacta4">
        <w:r>
          <w:rPr>
            <w:rStyle w:val="Hyperlink"/>
          </w:rPr>
          <w:t xml:space="preserve">Tabela 5.4</w:t>
        </w:r>
      </w:hyperlink>
      <w:r>
        <w:t xml:space="preserve"> </w:t>
      </w:r>
      <w:r>
        <w:t xml:space="preserve">abaixo:</w:t>
      </w:r>
    </w:p>
    <w:tbl>
      <w:tblPr>
        <w:tblStyle w:val="Table"/>
        <w:tblW w:type="pct" w:w="5000"/>
        <w:tblLayout w:type="fixed"/>
        <w:tblLook w:firstRow="0" w:lastRow="0" w:firstColumn="0" w:lastColumn="0" w:noHBand="0" w:noVBand="0" w:val="0000"/>
      </w:tblPr>
      <w:tblGrid>
        <w:gridCol w:w="7920"/>
      </w:tblGrid>
      <w:tr>
        <w:tc>
          <w:tcPr/>
          <w:bookmarkStart w:id="499" w:name="tbl-quadro-cindacta4"/>
          <w:p>
            <w:pPr>
              <w:jc w:val="center"/>
            </w:pPr>
            <w:pPr>
              <w:jc w:val="left"/>
              <w:spacing w:before="200"/>
              <w:pStyle w:val="ImageCaption"/>
            </w:pPr>
            <w:r>
              <w:t xml:space="preserve">Tabela 5.4: Órgãos ATS do CINDACTA IV. Fonte: DECEA</w:t>
            </w:r>
          </w:p>
          <w:tbl>
            <w:tblPr>
              <w:tblStyle w:val="Table"/>
              <w:tblW w:type="pct" w:w="5000"/>
              <w:tblLayout w:type="fixed"/>
              <w:tblLook w:firstRow="1" w:lastRow="0" w:firstColumn="0" w:lastColumn="0" w:noHBand="0" w:noVBand="0" w:val="0020"/>
            </w:tblPr>
            <w:tblGrid>
              <w:gridCol w:w="556"/>
              <w:gridCol w:w="342"/>
              <w:gridCol w:w="342"/>
              <w:gridCol w:w="1113"/>
              <w:gridCol w:w="2354"/>
              <w:gridCol w:w="1027"/>
              <w:gridCol w:w="2183"/>
            </w:tblGrid>
            <w:tr>
              <w:trPr>
                <w:tblHeader w:val="on"/>
              </w:trPr>
              <w:tc>
                <w:tcPr/>
                <w:p>
                  <w:pPr>
                    <w:pStyle w:val="Compact"/>
                    <w:jc w:val="center"/>
                    <w:jc w:val="center"/>
                  </w:pPr>
                  <w:r>
                    <w:t xml:space="preserve">REGIONAL</w:t>
                  </w:r>
                </w:p>
              </w:tc>
              <w:tc>
                <w:tcPr/>
                <w:p>
                  <w:pPr>
                    <w:pStyle w:val="Compact"/>
                    <w:jc w:val="center"/>
                    <w:jc w:val="center"/>
                  </w:pPr>
                  <w:r>
                    <w:t xml:space="preserve">ÓRGÃO</w:t>
                  </w:r>
                </w:p>
              </w:tc>
              <w:tc>
                <w:tcPr/>
                <w:p>
                  <w:pPr>
                    <w:pStyle w:val="Compact"/>
                    <w:jc w:val="center"/>
                    <w:jc w:val="center"/>
                  </w:pPr>
                  <w:r>
                    <w:t xml:space="preserve">CÓDIGO</w:t>
                  </w:r>
                </w:p>
              </w:tc>
              <w:tc>
                <w:tcPr/>
                <w:p>
                  <w:pPr>
                    <w:pStyle w:val="Compact"/>
                    <w:jc w:val="center"/>
                    <w:jc w:val="center"/>
                  </w:pPr>
                  <w:r>
                    <w:t xml:space="preserve">NOME</w:t>
                  </w:r>
                </w:p>
              </w:tc>
              <w:tc>
                <w:tcPr/>
                <w:p>
                  <w:pPr>
                    <w:pStyle w:val="Compact"/>
                    <w:jc w:val="center"/>
                    <w:jc w:val="center"/>
                  </w:pPr>
                  <w:r>
                    <w:t xml:space="preserve">RESPONSÁVEL/DESTACAMENTO DO ORGÃO</w:t>
                  </w:r>
                </w:p>
              </w:tc>
              <w:tc>
                <w:tcPr/>
                <w:p>
                  <w:pPr>
                    <w:pStyle w:val="Compact"/>
                    <w:jc w:val="center"/>
                    <w:jc w:val="center"/>
                  </w:pPr>
                  <w:r>
                    <w:t xml:space="preserve">OPERADOR DO ÓRGÃO</w:t>
                  </w:r>
                </w:p>
              </w:tc>
              <w:tc>
                <w:tcPr/>
                <w:p>
                  <w:pPr>
                    <w:pStyle w:val="Compact"/>
                    <w:jc w:val="center"/>
                    <w:jc w:val="center"/>
                  </w:pPr>
                  <w:r>
                    <w:t xml:space="preserve">OPERADOR AEROPORTUÁRIO</w:t>
                  </w:r>
                </w:p>
              </w:tc>
            </w:tr>
            <w:tr>
              <w:tc>
                <w:tcPr/>
                <w:p>
                  <w:pPr>
                    <w:pStyle w:val="Compact"/>
                    <w:jc w:val="center"/>
                    <w:jc w:val="center"/>
                  </w:pPr>
                  <w:r>
                    <w:t xml:space="preserve">CINDACTA IV</w:t>
                  </w:r>
                </w:p>
              </w:tc>
              <w:tc>
                <w:tcPr/>
                <w:p>
                  <w:pPr>
                    <w:pStyle w:val="Compact"/>
                    <w:jc w:val="center"/>
                    <w:jc w:val="center"/>
                  </w:pPr>
                  <w:r>
                    <w:t xml:space="preserve">ACC</w:t>
                  </w:r>
                </w:p>
              </w:tc>
              <w:tc>
                <w:tcPr/>
                <w:p>
                  <w:pPr>
                    <w:pStyle w:val="Compact"/>
                    <w:jc w:val="center"/>
                    <w:jc w:val="center"/>
                  </w:pPr>
                  <w:r>
                    <w:t xml:space="preserve">SBAZ</w:t>
                  </w:r>
                </w:p>
              </w:tc>
              <w:tc>
                <w:tcPr/>
                <w:p>
                  <w:pPr>
                    <w:pStyle w:val="Compact"/>
                    <w:jc w:val="center"/>
                    <w:jc w:val="center"/>
                  </w:pPr>
                  <w:r>
                    <w:t xml:space="preserve">Amazônico</w:t>
                  </w:r>
                </w:p>
              </w:tc>
              <w:tc>
                <w:tcPr/>
                <w:p>
                  <w:pPr>
                    <w:pStyle w:val="Compact"/>
                    <w:jc w:val="center"/>
                    <w:jc w:val="center"/>
                  </w:pPr>
                  <w:r>
                    <w:t xml:space="preserve">CINDACTA IV</w:t>
                  </w:r>
                </w:p>
              </w:tc>
              <w:tc>
                <w:tcPr/>
                <w:p>
                  <w:pPr>
                    <w:pStyle w:val="Compact"/>
                    <w:jc w:val="center"/>
                    <w:jc w:val="center"/>
                  </w:pPr>
                  <w:r>
                    <w:t xml:space="preserve">CINDACTA IV</w:t>
                  </w:r>
                </w:p>
              </w:tc>
              <w:tc>
                <w:tcPr/>
                <w:p>
                  <w:pPr>
                    <w:pStyle w:val="Compact"/>
                    <w:jc w:val="center"/>
                    <w:jc w:val="center"/>
                  </w:pPr>
                  <w:r>
                    <w:t xml:space="preserve">-</w:t>
                  </w:r>
                </w:p>
              </w:tc>
            </w:tr>
            <w:tr>
              <w:tc>
                <w:tcPr/>
                <w:p>
                  <w:pPr>
                    <w:pStyle w:val="Compact"/>
                    <w:jc w:val="center"/>
                    <w:jc w:val="center"/>
                  </w:pPr>
                  <w:r>
                    <w:t xml:space="preserve">CINDACTA IV</w:t>
                  </w:r>
                </w:p>
              </w:tc>
              <w:tc>
                <w:tcPr/>
                <w:p>
                  <w:pPr>
                    <w:pStyle w:val="Compact"/>
                    <w:jc w:val="center"/>
                    <w:jc w:val="center"/>
                  </w:pPr>
                  <w:r>
                    <w:t xml:space="preserve">APP</w:t>
                  </w:r>
                </w:p>
              </w:tc>
              <w:tc>
                <w:tcPr/>
                <w:p>
                  <w:pPr>
                    <w:pStyle w:val="Compact"/>
                    <w:jc w:val="center"/>
                    <w:jc w:val="center"/>
                  </w:pPr>
                  <w:r>
                    <w:t xml:space="preserve">SBWB</w:t>
                  </w:r>
                </w:p>
              </w:tc>
              <w:tc>
                <w:tcPr/>
                <w:p>
                  <w:pPr>
                    <w:pStyle w:val="Compact"/>
                    <w:jc w:val="center"/>
                    <w:jc w:val="center"/>
                  </w:pPr>
                  <w:r>
                    <w:t xml:space="preserve">Belém</w:t>
                  </w:r>
                </w:p>
              </w:tc>
              <w:tc>
                <w:tcPr/>
                <w:p>
                  <w:pPr>
                    <w:pStyle w:val="Compact"/>
                    <w:jc w:val="center"/>
                    <w:jc w:val="center"/>
                  </w:pPr>
                  <w:r>
                    <w:t xml:space="preserve">DTCEA-BE</w:t>
                  </w:r>
                </w:p>
              </w:tc>
              <w:tc>
                <w:tcPr/>
                <w:p>
                  <w:pPr>
                    <w:pStyle w:val="Compact"/>
                    <w:jc w:val="center"/>
                    <w:jc w:val="center"/>
                  </w:pPr>
                  <w:r>
                    <w:t xml:space="preserve">DTCEA-BE</w:t>
                  </w:r>
                </w:p>
              </w:tc>
              <w:tc>
                <w:tcPr/>
                <w:p>
                  <w:pPr>
                    <w:pStyle w:val="Compact"/>
                    <w:jc w:val="center"/>
                    <w:jc w:val="center"/>
                  </w:pPr>
                  <w:r>
                    <w:t xml:space="preserve">-</w:t>
                  </w:r>
                </w:p>
              </w:tc>
            </w:tr>
            <w:tr>
              <w:tc>
                <w:tcPr/>
                <w:p>
                  <w:pPr>
                    <w:pStyle w:val="Compact"/>
                    <w:jc w:val="center"/>
                    <w:jc w:val="center"/>
                  </w:pPr>
                  <w:r>
                    <w:t xml:space="preserve">CINDACTA IV</w:t>
                  </w:r>
                </w:p>
              </w:tc>
              <w:tc>
                <w:tcPr/>
                <w:p>
                  <w:pPr>
                    <w:pStyle w:val="Compact"/>
                    <w:jc w:val="center"/>
                    <w:jc w:val="center"/>
                  </w:pPr>
                  <w:r>
                    <w:t xml:space="preserve">APP</w:t>
                  </w:r>
                </w:p>
              </w:tc>
              <w:tc>
                <w:tcPr/>
                <w:p>
                  <w:pPr>
                    <w:pStyle w:val="Compact"/>
                    <w:jc w:val="center"/>
                    <w:jc w:val="center"/>
                  </w:pPr>
                  <w:r>
                    <w:t xml:space="preserve">SBWN</w:t>
                  </w:r>
                </w:p>
              </w:tc>
              <w:tc>
                <w:tcPr/>
                <w:p>
                  <w:pPr>
                    <w:pStyle w:val="Compact"/>
                    <w:jc w:val="center"/>
                    <w:jc w:val="center"/>
                  </w:pPr>
                  <w:r>
                    <w:t xml:space="preserve">Manaus</w:t>
                  </w:r>
                </w:p>
              </w:tc>
              <w:tc>
                <w:tcPr/>
                <w:p>
                  <w:pPr>
                    <w:pStyle w:val="Compact"/>
                    <w:jc w:val="center"/>
                    <w:jc w:val="center"/>
                  </w:pPr>
                  <w:r>
                    <w:t xml:space="preserve">CINDACTA IV</w:t>
                  </w:r>
                </w:p>
              </w:tc>
              <w:tc>
                <w:tcPr/>
                <w:p>
                  <w:pPr>
                    <w:pStyle w:val="Compact"/>
                    <w:jc w:val="center"/>
                    <w:jc w:val="center"/>
                  </w:pPr>
                  <w:r>
                    <w:t xml:space="preserve">CINDACTA IV</w:t>
                  </w:r>
                </w:p>
              </w:tc>
              <w:tc>
                <w:tcPr/>
                <w:p>
                  <w:pPr>
                    <w:pStyle w:val="Compact"/>
                    <w:jc w:val="center"/>
                    <w:jc w:val="center"/>
                  </w:pPr>
                  <w:r>
                    <w:t xml:space="preserve">-</w:t>
                  </w:r>
                </w:p>
              </w:tc>
            </w:tr>
            <w:tr>
              <w:tc>
                <w:tcPr/>
                <w:p>
                  <w:pPr>
                    <w:pStyle w:val="Compact"/>
                    <w:jc w:val="center"/>
                    <w:jc w:val="center"/>
                  </w:pPr>
                  <w:r>
                    <w:t xml:space="preserve">CINDACTA IV</w:t>
                  </w:r>
                </w:p>
              </w:tc>
              <w:tc>
                <w:tcPr/>
                <w:p>
                  <w:pPr>
                    <w:pStyle w:val="Compact"/>
                    <w:jc w:val="center"/>
                    <w:jc w:val="center"/>
                  </w:pPr>
                  <w:r>
                    <w:t xml:space="preserve">APP</w:t>
                  </w:r>
                </w:p>
              </w:tc>
              <w:tc>
                <w:tcPr/>
                <w:p>
                  <w:pPr>
                    <w:pStyle w:val="Compact"/>
                    <w:jc w:val="center"/>
                    <w:jc w:val="center"/>
                  </w:pPr>
                  <w:r>
                    <w:t xml:space="preserve">SBWQ</w:t>
                  </w:r>
                </w:p>
              </w:tc>
              <w:tc>
                <w:tcPr/>
                <w:p>
                  <w:pPr>
                    <w:pStyle w:val="Compact"/>
                    <w:jc w:val="center"/>
                    <w:jc w:val="center"/>
                  </w:pPr>
                  <w:r>
                    <w:t xml:space="preserve">Boa Vista</w:t>
                  </w:r>
                </w:p>
              </w:tc>
              <w:tc>
                <w:tcPr/>
                <w:p>
                  <w:pPr>
                    <w:pStyle w:val="Compact"/>
                    <w:jc w:val="center"/>
                    <w:jc w:val="center"/>
                  </w:pPr>
                  <w:r>
                    <w:t xml:space="preserve">DTCEA-BV</w:t>
                  </w:r>
                </w:p>
              </w:tc>
              <w:tc>
                <w:tcPr/>
                <w:p>
                  <w:pPr>
                    <w:pStyle w:val="Compact"/>
                    <w:jc w:val="center"/>
                    <w:jc w:val="center"/>
                  </w:pPr>
                  <w:r>
                    <w:t xml:space="preserve">DTCEA-BV</w:t>
                  </w:r>
                </w:p>
              </w:tc>
              <w:tc>
                <w:tcPr/>
                <w:p>
                  <w:pPr>
                    <w:pStyle w:val="Compact"/>
                    <w:jc w:val="center"/>
                    <w:jc w:val="center"/>
                  </w:pPr>
                  <w:r>
                    <w:t xml:space="preserve">-</w:t>
                  </w:r>
                </w:p>
              </w:tc>
            </w:tr>
            <w:tr>
              <w:tc>
                <w:tcPr/>
                <w:p>
                  <w:pPr>
                    <w:pStyle w:val="Compact"/>
                    <w:jc w:val="center"/>
                    <w:jc w:val="center"/>
                  </w:pPr>
                  <w:r>
                    <w:t xml:space="preserve">CINDACTA IV</w:t>
                  </w:r>
                </w:p>
              </w:tc>
              <w:tc>
                <w:tcPr/>
                <w:p>
                  <w:pPr>
                    <w:pStyle w:val="Compact"/>
                    <w:jc w:val="center"/>
                    <w:jc w:val="center"/>
                  </w:pPr>
                  <w:r>
                    <w:t xml:space="preserve">APP</w:t>
                  </w:r>
                </w:p>
              </w:tc>
              <w:tc>
                <w:tcPr/>
                <w:p>
                  <w:pPr>
                    <w:pStyle w:val="Compact"/>
                    <w:jc w:val="center"/>
                    <w:jc w:val="center"/>
                  </w:pPr>
                  <w:r>
                    <w:t xml:space="preserve">SBWV</w:t>
                  </w:r>
                </w:p>
              </w:tc>
              <w:tc>
                <w:tcPr/>
                <w:p>
                  <w:pPr>
                    <w:pStyle w:val="Compact"/>
                    <w:jc w:val="center"/>
                    <w:jc w:val="center"/>
                  </w:pPr>
                  <w:r>
                    <w:t xml:space="preserve">Porto Velho</w:t>
                  </w:r>
                </w:p>
              </w:tc>
              <w:tc>
                <w:tcPr/>
                <w:p>
                  <w:pPr>
                    <w:pStyle w:val="Compact"/>
                    <w:jc w:val="center"/>
                    <w:jc w:val="center"/>
                  </w:pPr>
                  <w:r>
                    <w:t xml:space="preserve">DTCEA-PV</w:t>
                  </w:r>
                </w:p>
              </w:tc>
              <w:tc>
                <w:tcPr/>
                <w:p>
                  <w:pPr>
                    <w:pStyle w:val="Compact"/>
                    <w:jc w:val="center"/>
                    <w:jc w:val="center"/>
                  </w:pPr>
                  <w:r>
                    <w:t xml:space="preserve">DTCEA-PV</w:t>
                  </w:r>
                </w:p>
              </w:tc>
              <w:tc>
                <w:tcPr/>
                <w:p>
                  <w:pPr>
                    <w:pStyle w:val="Compact"/>
                    <w:jc w:val="center"/>
                    <w:jc w:val="center"/>
                  </w:pPr>
                  <w:r>
                    <w:t xml:space="preserve">-</w:t>
                  </w:r>
                </w:p>
              </w:tc>
            </w:tr>
            <w:tr>
              <w:tc>
                <w:tcPr/>
                <w:p>
                  <w:pPr>
                    <w:pStyle w:val="Compact"/>
                    <w:jc w:val="center"/>
                    <w:jc w:val="center"/>
                  </w:pPr>
                  <w:r>
                    <w:t xml:space="preserve">CINDACTA IV</w:t>
                  </w:r>
                </w:p>
              </w:tc>
              <w:tc>
                <w:tcPr/>
                <w:p>
                  <w:pPr>
                    <w:pStyle w:val="Compact"/>
                    <w:jc w:val="center"/>
                    <w:jc w:val="center"/>
                  </w:pPr>
                  <w:r>
                    <w:t xml:space="preserve">APP</w:t>
                  </w:r>
                </w:p>
              </w:tc>
              <w:tc>
                <w:tcPr/>
                <w:p>
                  <w:pPr>
                    <w:pStyle w:val="Compact"/>
                    <w:jc w:val="center"/>
                    <w:jc w:val="center"/>
                  </w:pPr>
                  <w:r>
                    <w:t xml:space="preserve">SBWX</w:t>
                  </w:r>
                </w:p>
              </w:tc>
              <w:tc>
                <w:tcPr/>
                <w:p>
                  <w:pPr>
                    <w:pStyle w:val="Compact"/>
                    <w:jc w:val="center"/>
                    <w:jc w:val="center"/>
                  </w:pPr>
                  <w:r>
                    <w:t xml:space="preserve">Santarém</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w:t>
                  </w:r>
                </w:p>
              </w:tc>
            </w:tr>
            <w:tr>
              <w:tc>
                <w:tcPr/>
                <w:p>
                  <w:pPr>
                    <w:pStyle w:val="Compact"/>
                    <w:jc w:val="center"/>
                    <w:jc w:val="center"/>
                  </w:pPr>
                  <w:r>
                    <w:t xml:space="preserve">CINDACTA IV</w:t>
                  </w:r>
                </w:p>
              </w:tc>
              <w:tc>
                <w:tcPr/>
                <w:p>
                  <w:pPr>
                    <w:pStyle w:val="Compact"/>
                    <w:jc w:val="center"/>
                    <w:jc w:val="center"/>
                  </w:pPr>
                  <w:r>
                    <w:t xml:space="preserve">APP</w:t>
                  </w:r>
                </w:p>
              </w:tc>
              <w:tc>
                <w:tcPr/>
                <w:p>
                  <w:pPr>
                    <w:pStyle w:val="Compact"/>
                    <w:jc w:val="center"/>
                    <w:jc w:val="center"/>
                  </w:pPr>
                  <w:r>
                    <w:t xml:space="preserve">SBXB</w:t>
                  </w:r>
                </w:p>
              </w:tc>
              <w:tc>
                <w:tcPr/>
                <w:p>
                  <w:pPr>
                    <w:pStyle w:val="Compact"/>
                    <w:jc w:val="center"/>
                    <w:jc w:val="center"/>
                  </w:pPr>
                  <w:r>
                    <w:t xml:space="preserve">Rio Branco</w:t>
                  </w:r>
                </w:p>
              </w:tc>
              <w:tc>
                <w:tcPr/>
                <w:p>
                  <w:pPr>
                    <w:pStyle w:val="Compact"/>
                    <w:jc w:val="center"/>
                    <w:jc w:val="center"/>
                  </w:pPr>
                  <w:r>
                    <w:t xml:space="preserve">DTCEA-RB</w:t>
                  </w:r>
                </w:p>
              </w:tc>
              <w:tc>
                <w:tcPr/>
                <w:p>
                  <w:pPr>
                    <w:pStyle w:val="Compact"/>
                    <w:jc w:val="center"/>
                    <w:jc w:val="center"/>
                  </w:pPr>
                  <w:r>
                    <w:t xml:space="preserve">DTCEA-RB</w:t>
                  </w:r>
                </w:p>
              </w:tc>
              <w:tc>
                <w:tcPr/>
                <w:p>
                  <w:pPr>
                    <w:pStyle w:val="Compact"/>
                    <w:jc w:val="center"/>
                    <w:jc w:val="center"/>
                  </w:pPr>
                  <w:r>
                    <w:t xml:space="preserve">-</w:t>
                  </w:r>
                </w:p>
              </w:tc>
            </w:tr>
            <w:tr>
              <w:tc>
                <w:tcPr/>
                <w:p>
                  <w:pPr>
                    <w:pStyle w:val="Compact"/>
                    <w:jc w:val="center"/>
                    <w:jc w:val="center"/>
                  </w:pPr>
                  <w:r>
                    <w:t xml:space="preserve">CINDACTA IV</w:t>
                  </w:r>
                </w:p>
              </w:tc>
              <w:tc>
                <w:tcPr/>
                <w:p>
                  <w:pPr>
                    <w:pStyle w:val="Compact"/>
                    <w:jc w:val="center"/>
                    <w:jc w:val="center"/>
                  </w:pPr>
                  <w:r>
                    <w:t xml:space="preserve">APP</w:t>
                  </w:r>
                </w:p>
              </w:tc>
              <w:tc>
                <w:tcPr/>
                <w:p>
                  <w:pPr>
                    <w:pStyle w:val="Compact"/>
                    <w:jc w:val="center"/>
                    <w:jc w:val="center"/>
                  </w:pPr>
                  <w:r>
                    <w:t xml:space="preserve">SBXJ</w:t>
                  </w:r>
                </w:p>
              </w:tc>
              <w:tc>
                <w:tcPr/>
                <w:p>
                  <w:pPr>
                    <w:pStyle w:val="Compact"/>
                    <w:jc w:val="center"/>
                    <w:jc w:val="center"/>
                  </w:pPr>
                  <w:r>
                    <w:t xml:space="preserve">Marabá</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w:t>
                  </w:r>
                </w:p>
              </w:tc>
            </w:tr>
            <w:tr>
              <w:tc>
                <w:tcPr/>
                <w:p>
                  <w:pPr>
                    <w:pStyle w:val="Compact"/>
                    <w:jc w:val="center"/>
                    <w:jc w:val="center"/>
                  </w:pPr>
                  <w:r>
                    <w:t xml:space="preserve">CINDACTA IV</w:t>
                  </w:r>
                </w:p>
              </w:tc>
              <w:tc>
                <w:tcPr/>
                <w:p>
                  <w:pPr>
                    <w:pStyle w:val="Compact"/>
                    <w:jc w:val="center"/>
                    <w:jc w:val="center"/>
                  </w:pPr>
                  <w:r>
                    <w:t xml:space="preserve">APP</w:t>
                  </w:r>
                </w:p>
              </w:tc>
              <w:tc>
                <w:tcPr/>
                <w:p>
                  <w:pPr>
                    <w:pStyle w:val="Compact"/>
                    <w:jc w:val="center"/>
                    <w:jc w:val="center"/>
                  </w:pPr>
                  <w:r>
                    <w:t xml:space="preserve">SBXK</w:t>
                  </w:r>
                </w:p>
              </w:tc>
              <w:tc>
                <w:tcPr/>
                <w:p>
                  <w:pPr>
                    <w:pStyle w:val="Compact"/>
                    <w:jc w:val="center"/>
                    <w:jc w:val="center"/>
                  </w:pPr>
                  <w:r>
                    <w:t xml:space="preserve">Macapá</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w:t>
                  </w:r>
                </w:p>
              </w:tc>
            </w:tr>
            <w:tr>
              <w:tc>
                <w:tcPr/>
                <w:p>
                  <w:pPr>
                    <w:pStyle w:val="Compact"/>
                    <w:jc w:val="center"/>
                    <w:jc w:val="center"/>
                  </w:pPr>
                  <w:r>
                    <w:t xml:space="preserve">CINDACTA IV</w:t>
                  </w:r>
                </w:p>
              </w:tc>
              <w:tc>
                <w:tcPr/>
                <w:p>
                  <w:pPr>
                    <w:pStyle w:val="Compact"/>
                    <w:jc w:val="center"/>
                    <w:jc w:val="center"/>
                  </w:pPr>
                  <w:r>
                    <w:t xml:space="preserve">TWR</w:t>
                  </w:r>
                </w:p>
              </w:tc>
              <w:tc>
                <w:tcPr/>
                <w:p>
                  <w:pPr>
                    <w:pStyle w:val="Compact"/>
                    <w:jc w:val="center"/>
                    <w:jc w:val="center"/>
                  </w:pPr>
                  <w:r>
                    <w:t xml:space="preserve">SBBE</w:t>
                  </w:r>
                </w:p>
              </w:tc>
              <w:tc>
                <w:tcPr/>
                <w:p>
                  <w:pPr>
                    <w:pStyle w:val="Compact"/>
                    <w:jc w:val="center"/>
                    <w:jc w:val="center"/>
                  </w:pPr>
                  <w:r>
                    <w:t xml:space="preserve">Belém</w:t>
                  </w:r>
                </w:p>
              </w:tc>
              <w:tc>
                <w:tcPr/>
                <w:p>
                  <w:pPr>
                    <w:pStyle w:val="Compact"/>
                    <w:jc w:val="center"/>
                    <w:jc w:val="center"/>
                  </w:pPr>
                  <w:r>
                    <w:t xml:space="preserve">DTCEA-BE</w:t>
                  </w:r>
                </w:p>
              </w:tc>
              <w:tc>
                <w:tcPr/>
                <w:p>
                  <w:pPr>
                    <w:pStyle w:val="Compact"/>
                    <w:jc w:val="center"/>
                    <w:jc w:val="center"/>
                  </w:pPr>
                  <w:r>
                    <w:t xml:space="preserve">DTCEA-BE</w:t>
                  </w:r>
                </w:p>
              </w:tc>
              <w:tc>
                <w:tcPr/>
                <w:p>
                  <w:pPr>
                    <w:pStyle w:val="Compact"/>
                    <w:jc w:val="center"/>
                    <w:jc w:val="center"/>
                  </w:pPr>
                  <w:r>
                    <w:t xml:space="preserve"> SOCICAM</w:t>
                  </w:r>
                </w:p>
              </w:tc>
            </w:tr>
            <w:tr>
              <w:tc>
                <w:tcPr/>
                <w:p>
                  <w:pPr>
                    <w:pStyle w:val="Compact"/>
                    <w:jc w:val="center"/>
                    <w:jc w:val="center"/>
                  </w:pPr>
                  <w:r>
                    <w:t xml:space="preserve">CINDACTA IV</w:t>
                  </w:r>
                </w:p>
              </w:tc>
              <w:tc>
                <w:tcPr/>
                <w:p>
                  <w:pPr>
                    <w:pStyle w:val="Compact"/>
                    <w:jc w:val="center"/>
                    <w:jc w:val="center"/>
                  </w:pPr>
                  <w:r>
                    <w:t xml:space="preserve">TWR</w:t>
                  </w:r>
                </w:p>
              </w:tc>
              <w:tc>
                <w:tcPr/>
                <w:p>
                  <w:pPr>
                    <w:pStyle w:val="Compact"/>
                    <w:jc w:val="center"/>
                    <w:jc w:val="center"/>
                  </w:pPr>
                  <w:r>
                    <w:t xml:space="preserve">SBBV</w:t>
                  </w:r>
                </w:p>
              </w:tc>
              <w:tc>
                <w:tcPr/>
                <w:p>
                  <w:pPr>
                    <w:pStyle w:val="Compact"/>
                    <w:jc w:val="center"/>
                    <w:jc w:val="center"/>
                  </w:pPr>
                  <w:r>
                    <w:t xml:space="preserve">Boa Vista</w:t>
                  </w:r>
                </w:p>
              </w:tc>
              <w:tc>
                <w:tcPr/>
                <w:p>
                  <w:pPr>
                    <w:pStyle w:val="Compact"/>
                    <w:jc w:val="center"/>
                    <w:jc w:val="center"/>
                  </w:pPr>
                  <w:r>
                    <w:t xml:space="preserve">DTCEA-BV</w:t>
                  </w:r>
                </w:p>
              </w:tc>
              <w:tc>
                <w:tcPr/>
                <w:p>
                  <w:pPr>
                    <w:pStyle w:val="Compact"/>
                    <w:jc w:val="center"/>
                    <w:jc w:val="center"/>
                  </w:pPr>
                  <w:r>
                    <w:t xml:space="preserve">DTCEA-BV</w:t>
                  </w:r>
                </w:p>
              </w:tc>
              <w:tc>
                <w:tcPr/>
                <w:p>
                  <w:pPr>
                    <w:pStyle w:val="Compact"/>
                    <w:jc w:val="center"/>
                    <w:jc w:val="center"/>
                  </w:pPr>
                  <w:r>
                    <w:t xml:space="preserve"> VINCI AIRPORTS</w:t>
                  </w:r>
                </w:p>
              </w:tc>
            </w:tr>
            <w:tr>
              <w:tc>
                <w:tcPr/>
                <w:p>
                  <w:pPr>
                    <w:pStyle w:val="Compact"/>
                    <w:jc w:val="center"/>
                    <w:jc w:val="center"/>
                  </w:pPr>
                  <w:r>
                    <w:t xml:space="preserve">CINDACTA IV</w:t>
                  </w:r>
                </w:p>
              </w:tc>
              <w:tc>
                <w:tcPr/>
                <w:p>
                  <w:pPr>
                    <w:pStyle w:val="Compact"/>
                    <w:jc w:val="center"/>
                    <w:jc w:val="center"/>
                  </w:pPr>
                  <w:r>
                    <w:t xml:space="preserve">TWR</w:t>
                  </w:r>
                </w:p>
              </w:tc>
              <w:tc>
                <w:tcPr/>
                <w:p>
                  <w:pPr>
                    <w:pStyle w:val="Compact"/>
                    <w:jc w:val="center"/>
                    <w:jc w:val="center"/>
                  </w:pPr>
                  <w:r>
                    <w:t xml:space="preserve">SBEG</w:t>
                  </w:r>
                </w:p>
              </w:tc>
              <w:tc>
                <w:tcPr/>
                <w:p>
                  <w:pPr>
                    <w:pStyle w:val="Compact"/>
                    <w:jc w:val="center"/>
                    <w:jc w:val="center"/>
                  </w:pPr>
                  <w:r>
                    <w:t xml:space="preserve">Eduardo Gomes</w:t>
                  </w:r>
                </w:p>
              </w:tc>
              <w:tc>
                <w:tcPr/>
                <w:p>
                  <w:pPr>
                    <w:pStyle w:val="Compact"/>
                    <w:jc w:val="center"/>
                    <w:jc w:val="center"/>
                  </w:pPr>
                  <w:r>
                    <w:t xml:space="preserve">DTCEA-EG</w:t>
                  </w:r>
                </w:p>
              </w:tc>
              <w:tc>
                <w:tcPr/>
                <w:p>
                  <w:pPr>
                    <w:pStyle w:val="Compact"/>
                    <w:jc w:val="center"/>
                    <w:jc w:val="center"/>
                  </w:pPr>
                  <w:r>
                    <w:t xml:space="preserve">DTCEA-EG</w:t>
                  </w:r>
                </w:p>
              </w:tc>
              <w:tc>
                <w:tcPr/>
                <w:p>
                  <w:pPr>
                    <w:pStyle w:val="Compact"/>
                    <w:jc w:val="center"/>
                    <w:jc w:val="center"/>
                  </w:pPr>
                  <w:r>
                    <w:t xml:space="preserve"> VINCI AIRPORTS</w:t>
                  </w:r>
                </w:p>
              </w:tc>
            </w:tr>
            <w:tr>
              <w:tc>
                <w:tcPr/>
                <w:p>
                  <w:pPr>
                    <w:pStyle w:val="Compact"/>
                    <w:jc w:val="center"/>
                    <w:jc w:val="center"/>
                  </w:pPr>
                  <w:r>
                    <w:t xml:space="preserve">CINDACTA IV</w:t>
                  </w:r>
                </w:p>
              </w:tc>
              <w:tc>
                <w:tcPr/>
                <w:p>
                  <w:pPr>
                    <w:pStyle w:val="Compact"/>
                    <w:jc w:val="center"/>
                    <w:jc w:val="center"/>
                  </w:pPr>
                  <w:r>
                    <w:t xml:space="preserve">TWR</w:t>
                  </w:r>
                </w:p>
              </w:tc>
              <w:tc>
                <w:tcPr/>
                <w:p>
                  <w:pPr>
                    <w:pStyle w:val="Compact"/>
                    <w:jc w:val="center"/>
                    <w:jc w:val="center"/>
                  </w:pPr>
                  <w:r>
                    <w:t xml:space="preserve">SBMN</w:t>
                  </w:r>
                </w:p>
              </w:tc>
              <w:tc>
                <w:tcPr/>
                <w:p>
                  <w:pPr>
                    <w:pStyle w:val="Compact"/>
                    <w:jc w:val="center"/>
                    <w:jc w:val="center"/>
                  </w:pPr>
                  <w:r>
                    <w:t xml:space="preserve">Ponta Pelada</w:t>
                  </w:r>
                </w:p>
              </w:tc>
              <w:tc>
                <w:tcPr/>
                <w:p>
                  <w:pPr>
                    <w:pStyle w:val="Compact"/>
                    <w:jc w:val="center"/>
                    <w:jc w:val="center"/>
                  </w:pPr>
                  <w:r>
                    <w:t xml:space="preserve">DTCEA-MN</w:t>
                  </w:r>
                </w:p>
              </w:tc>
              <w:tc>
                <w:tcPr/>
                <w:p>
                  <w:pPr>
                    <w:pStyle w:val="Compact"/>
                    <w:jc w:val="center"/>
                    <w:jc w:val="center"/>
                  </w:pPr>
                  <w:r>
                    <w:t xml:space="preserve">DTCEA-MN</w:t>
                  </w:r>
                </w:p>
              </w:tc>
              <w:tc>
                <w:tcPr/>
                <w:p>
                  <w:pPr>
                    <w:pStyle w:val="Compact"/>
                    <w:jc w:val="center"/>
                    <w:jc w:val="center"/>
                  </w:pPr>
                  <w:r>
                    <w:t xml:space="preserve">FAB</w:t>
                  </w:r>
                </w:p>
              </w:tc>
            </w:tr>
            <w:tr>
              <w:tc>
                <w:tcPr/>
                <w:p>
                  <w:pPr>
                    <w:pStyle w:val="Compact"/>
                    <w:jc w:val="center"/>
                    <w:jc w:val="center"/>
                  </w:pPr>
                  <w:r>
                    <w:t xml:space="preserve">CINDACTA IV</w:t>
                  </w:r>
                </w:p>
              </w:tc>
              <w:tc>
                <w:tcPr/>
                <w:p>
                  <w:pPr>
                    <w:pStyle w:val="Compact"/>
                    <w:jc w:val="center"/>
                    <w:jc w:val="center"/>
                  </w:pPr>
                  <w:r>
                    <w:t xml:space="preserve">TWR</w:t>
                  </w:r>
                </w:p>
              </w:tc>
              <w:tc>
                <w:tcPr/>
                <w:p>
                  <w:pPr>
                    <w:pStyle w:val="Compact"/>
                    <w:jc w:val="center"/>
                    <w:jc w:val="center"/>
                  </w:pPr>
                  <w:r>
                    <w:t xml:space="preserve">SBMQ</w:t>
                  </w:r>
                </w:p>
              </w:tc>
              <w:tc>
                <w:tcPr/>
                <w:p>
                  <w:pPr>
                    <w:pStyle w:val="Compact"/>
                    <w:jc w:val="center"/>
                    <w:jc w:val="center"/>
                  </w:pPr>
                  <w:r>
                    <w:t xml:space="preserve">Macapá</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SOCICAM</w:t>
                  </w:r>
                </w:p>
              </w:tc>
            </w:tr>
            <w:tr>
              <w:tc>
                <w:tcPr/>
                <w:p>
                  <w:pPr>
                    <w:pStyle w:val="Compact"/>
                    <w:jc w:val="center"/>
                    <w:jc w:val="center"/>
                  </w:pPr>
                  <w:r>
                    <w:t xml:space="preserve">CINDACTA IV</w:t>
                  </w:r>
                </w:p>
              </w:tc>
              <w:tc>
                <w:tcPr/>
                <w:p>
                  <w:pPr>
                    <w:pStyle w:val="Compact"/>
                    <w:jc w:val="center"/>
                    <w:jc w:val="center"/>
                  </w:pPr>
                  <w:r>
                    <w:t xml:space="preserve">TWR</w:t>
                  </w:r>
                </w:p>
              </w:tc>
              <w:tc>
                <w:tcPr/>
                <w:p>
                  <w:pPr>
                    <w:pStyle w:val="Compact"/>
                    <w:jc w:val="center"/>
                    <w:jc w:val="center"/>
                  </w:pPr>
                  <w:r>
                    <w:t xml:space="preserve">SBPV</w:t>
                  </w:r>
                </w:p>
              </w:tc>
              <w:tc>
                <w:tcPr/>
                <w:p>
                  <w:pPr>
                    <w:pStyle w:val="Compact"/>
                    <w:jc w:val="center"/>
                    <w:jc w:val="center"/>
                  </w:pPr>
                  <w:r>
                    <w:t xml:space="preserve">Porto Velho</w:t>
                  </w:r>
                </w:p>
              </w:tc>
              <w:tc>
                <w:tcPr/>
                <w:p>
                  <w:pPr>
                    <w:pStyle w:val="Compact"/>
                    <w:jc w:val="center"/>
                    <w:jc w:val="center"/>
                  </w:pPr>
                  <w:r>
                    <w:t xml:space="preserve">DTCEA-PV</w:t>
                  </w:r>
                </w:p>
              </w:tc>
              <w:tc>
                <w:tcPr/>
                <w:p>
                  <w:pPr>
                    <w:pStyle w:val="Compact"/>
                    <w:jc w:val="center"/>
                    <w:jc w:val="center"/>
                  </w:pPr>
                  <w:r>
                    <w:t xml:space="preserve">DTCEA-PV</w:t>
                  </w:r>
                </w:p>
              </w:tc>
              <w:tc>
                <w:tcPr/>
                <w:p>
                  <w:pPr>
                    <w:pStyle w:val="Compact"/>
                    <w:jc w:val="center"/>
                    <w:jc w:val="center"/>
                  </w:pPr>
                  <w:r>
                    <w:t xml:space="preserve"> VINCI AIRPORTS</w:t>
                  </w:r>
                </w:p>
              </w:tc>
            </w:tr>
            <w:tr>
              <w:tc>
                <w:tcPr/>
                <w:p>
                  <w:pPr>
                    <w:pStyle w:val="Compact"/>
                    <w:jc w:val="center"/>
                    <w:jc w:val="center"/>
                  </w:pPr>
                  <w:r>
                    <w:t xml:space="preserve">CINDACTA IV</w:t>
                  </w:r>
                </w:p>
              </w:tc>
              <w:tc>
                <w:tcPr/>
                <w:p>
                  <w:pPr>
                    <w:pStyle w:val="Compact"/>
                    <w:jc w:val="center"/>
                    <w:jc w:val="center"/>
                  </w:pPr>
                  <w:r>
                    <w:t xml:space="preserve">TWR</w:t>
                  </w:r>
                </w:p>
              </w:tc>
              <w:tc>
                <w:tcPr/>
                <w:p>
                  <w:pPr>
                    <w:pStyle w:val="Compact"/>
                    <w:jc w:val="center"/>
                    <w:jc w:val="center"/>
                  </w:pPr>
                  <w:r>
                    <w:t xml:space="preserve">SVRB</w:t>
                  </w:r>
                </w:p>
              </w:tc>
              <w:tc>
                <w:tcPr/>
                <w:p>
                  <w:pPr>
                    <w:pStyle w:val="Compact"/>
                    <w:jc w:val="center"/>
                    <w:jc w:val="center"/>
                  </w:pPr>
                  <w:r>
                    <w:t xml:space="preserve">Rio Branco</w:t>
                  </w:r>
                </w:p>
              </w:tc>
              <w:tc>
                <w:tcPr/>
                <w:p>
                  <w:pPr>
                    <w:pStyle w:val="Compact"/>
                    <w:jc w:val="center"/>
                    <w:jc w:val="center"/>
                  </w:pPr>
                  <w:r>
                    <w:t xml:space="preserve">DTCEA-PV</w:t>
                  </w:r>
                </w:p>
              </w:tc>
              <w:tc>
                <w:tcPr/>
                <w:p>
                  <w:pPr>
                    <w:pStyle w:val="Compact"/>
                    <w:jc w:val="center"/>
                    <w:jc w:val="center"/>
                  </w:pPr>
                  <w:r>
                    <w:t xml:space="preserve">DTCEA-PV</w:t>
                  </w:r>
                </w:p>
              </w:tc>
              <w:tc>
                <w:tcPr/>
                <w:p>
                  <w:pPr>
                    <w:pStyle w:val="Compact"/>
                    <w:jc w:val="center"/>
                    <w:jc w:val="center"/>
                  </w:pPr>
                  <w:r>
                    <w:t xml:space="preserve"> VINCI AIRPORTS</w:t>
                  </w:r>
                </w:p>
              </w:tc>
            </w:tr>
            <w:tr>
              <w:tc>
                <w:tcPr/>
                <w:p>
                  <w:pPr>
                    <w:pStyle w:val="Compact"/>
                    <w:jc w:val="center"/>
                    <w:jc w:val="center"/>
                  </w:pPr>
                  <w:r>
                    <w:t xml:space="preserve">CINDACTA IV</w:t>
                  </w:r>
                </w:p>
              </w:tc>
              <w:tc>
                <w:tcPr/>
                <w:p>
                  <w:pPr>
                    <w:pStyle w:val="Compact"/>
                    <w:jc w:val="center"/>
                    <w:jc w:val="center"/>
                  </w:pPr>
                  <w:r>
                    <w:t xml:space="preserve">TWR</w:t>
                  </w:r>
                </w:p>
              </w:tc>
              <w:tc>
                <w:tcPr/>
                <w:p>
                  <w:pPr>
                    <w:pStyle w:val="Compact"/>
                    <w:jc w:val="center"/>
                    <w:jc w:val="center"/>
                  </w:pPr>
                  <w:r>
                    <w:t xml:space="preserve">SBSN</w:t>
                  </w:r>
                </w:p>
              </w:tc>
              <w:tc>
                <w:tcPr/>
                <w:p>
                  <w:pPr>
                    <w:pStyle w:val="Compact"/>
                    <w:jc w:val="center"/>
                    <w:jc w:val="center"/>
                  </w:pPr>
                  <w:r>
                    <w:t xml:space="preserve">Santarém</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AENA</w:t>
                  </w:r>
                </w:p>
              </w:tc>
            </w:tr>
            <w:tr>
              <w:tc>
                <w:tcPr/>
                <w:p>
                  <w:pPr>
                    <w:pStyle w:val="Compact"/>
                    <w:jc w:val="center"/>
                    <w:jc w:val="center"/>
                  </w:pPr>
                  <w:r>
                    <w:t xml:space="preserve">CINDACTA IV</w:t>
                  </w:r>
                </w:p>
              </w:tc>
              <w:tc>
                <w:tcPr/>
                <w:p>
                  <w:pPr>
                    <w:pStyle w:val="Compact"/>
                    <w:jc w:val="center"/>
                    <w:jc w:val="center"/>
                  </w:pPr>
                  <w:r>
                    <w:t xml:space="preserve">AFIS</w:t>
                  </w:r>
                </w:p>
              </w:tc>
              <w:tc>
                <w:tcPr/>
                <w:p>
                  <w:pPr>
                    <w:pStyle w:val="Compact"/>
                    <w:jc w:val="center"/>
                    <w:jc w:val="center"/>
                  </w:pPr>
                  <w:r>
                    <w:t xml:space="preserve">SBAT</w:t>
                  </w:r>
                </w:p>
              </w:tc>
              <w:tc>
                <w:tcPr/>
                <w:p>
                  <w:pPr>
                    <w:pStyle w:val="Compact"/>
                    <w:jc w:val="center"/>
                    <w:jc w:val="center"/>
                  </w:pPr>
                  <w:r>
                    <w:t xml:space="preserve">Alta Floresta</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COA - Centro Oeste Aeroportos</w:t>
                  </w:r>
                </w:p>
              </w:tc>
            </w:tr>
            <w:tr>
              <w:tc>
                <w:tcPr/>
                <w:p>
                  <w:pPr>
                    <w:pStyle w:val="Compact"/>
                    <w:jc w:val="center"/>
                    <w:jc w:val="center"/>
                  </w:pPr>
                  <w:r>
                    <w:t xml:space="preserve">CINDACTA IV</w:t>
                  </w:r>
                </w:p>
              </w:tc>
              <w:tc>
                <w:tcPr/>
                <w:p>
                  <w:pPr>
                    <w:pStyle w:val="Compact"/>
                    <w:jc w:val="center"/>
                    <w:jc w:val="center"/>
                  </w:pPr>
                  <w:r>
                    <w:t xml:space="preserve">AFIS</w:t>
                  </w:r>
                </w:p>
              </w:tc>
              <w:tc>
                <w:tcPr/>
                <w:p>
                  <w:pPr>
                    <w:pStyle w:val="Compact"/>
                    <w:jc w:val="center"/>
                    <w:jc w:val="center"/>
                  </w:pPr>
                  <w:r>
                    <w:t xml:space="preserve">SBCJ</w:t>
                  </w:r>
                </w:p>
              </w:tc>
              <w:tc>
                <w:tcPr/>
                <w:p>
                  <w:pPr>
                    <w:pStyle w:val="Compact"/>
                    <w:jc w:val="center"/>
                    <w:jc w:val="center"/>
                  </w:pPr>
                  <w:r>
                    <w:t xml:space="preserve">Carajás</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AENA</w:t>
                  </w:r>
                </w:p>
              </w:tc>
            </w:tr>
            <w:tr>
              <w:tc>
                <w:tcPr/>
                <w:p>
                  <w:pPr>
                    <w:pStyle w:val="Compact"/>
                    <w:jc w:val="center"/>
                    <w:jc w:val="center"/>
                  </w:pPr>
                  <w:r>
                    <w:t xml:space="preserve">CINDACTA IV</w:t>
                  </w:r>
                </w:p>
              </w:tc>
              <w:tc>
                <w:tcPr/>
                <w:p>
                  <w:pPr>
                    <w:pStyle w:val="Compact"/>
                    <w:jc w:val="center"/>
                    <w:jc w:val="center"/>
                  </w:pPr>
                  <w:r>
                    <w:t xml:space="preserve">AFIS</w:t>
                  </w:r>
                </w:p>
              </w:tc>
              <w:tc>
                <w:tcPr/>
                <w:p>
                  <w:pPr>
                    <w:pStyle w:val="Compact"/>
                    <w:jc w:val="center"/>
                    <w:jc w:val="center"/>
                  </w:pPr>
                  <w:r>
                    <w:t xml:space="preserve">SBCZ</w:t>
                  </w:r>
                </w:p>
              </w:tc>
              <w:tc>
                <w:tcPr/>
                <w:p>
                  <w:pPr>
                    <w:pStyle w:val="Compact"/>
                    <w:jc w:val="center"/>
                    <w:jc w:val="center"/>
                  </w:pPr>
                  <w:r>
                    <w:t xml:space="preserve">Cruzeiro do Sul</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VINCI AIRPORTS</w:t>
                  </w:r>
                </w:p>
              </w:tc>
            </w:tr>
            <w:tr>
              <w:tc>
                <w:tcPr/>
                <w:p>
                  <w:pPr>
                    <w:pStyle w:val="Compact"/>
                    <w:jc w:val="center"/>
                    <w:jc w:val="center"/>
                  </w:pPr>
                  <w:r>
                    <w:t xml:space="preserve">CINDACTA IV</w:t>
                  </w:r>
                </w:p>
              </w:tc>
              <w:tc>
                <w:tcPr/>
                <w:p>
                  <w:pPr>
                    <w:pStyle w:val="Compact"/>
                    <w:jc w:val="center"/>
                    <w:jc w:val="center"/>
                  </w:pPr>
                  <w:r>
                    <w:t xml:space="preserve">AFIS</w:t>
                  </w:r>
                </w:p>
              </w:tc>
              <w:tc>
                <w:tcPr/>
                <w:p>
                  <w:pPr>
                    <w:pStyle w:val="Compact"/>
                    <w:jc w:val="center"/>
                    <w:jc w:val="center"/>
                  </w:pPr>
                  <w:r>
                    <w:t xml:space="preserve">SBHT</w:t>
                  </w:r>
                </w:p>
              </w:tc>
              <w:tc>
                <w:tcPr/>
                <w:p>
                  <w:pPr>
                    <w:pStyle w:val="Compact"/>
                    <w:jc w:val="center"/>
                    <w:jc w:val="center"/>
                  </w:pPr>
                  <w:r>
                    <w:t xml:space="preserve">Altamira</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AENA</w:t>
                  </w:r>
                </w:p>
              </w:tc>
            </w:tr>
            <w:tr>
              <w:tc>
                <w:tcPr/>
                <w:p>
                  <w:pPr>
                    <w:pStyle w:val="Compact"/>
                    <w:jc w:val="center"/>
                    <w:jc w:val="center"/>
                  </w:pPr>
                  <w:r>
                    <w:t xml:space="preserve">CINDACTA IV</w:t>
                  </w:r>
                </w:p>
              </w:tc>
              <w:tc>
                <w:tcPr/>
                <w:p>
                  <w:pPr>
                    <w:pStyle w:val="Compact"/>
                    <w:jc w:val="center"/>
                    <w:jc w:val="center"/>
                  </w:pPr>
                  <w:r>
                    <w:t xml:space="preserve">AFIS</w:t>
                  </w:r>
                </w:p>
              </w:tc>
              <w:tc>
                <w:tcPr/>
                <w:p>
                  <w:pPr>
                    <w:pStyle w:val="Compact"/>
                    <w:jc w:val="center"/>
                    <w:jc w:val="center"/>
                  </w:pPr>
                  <w:r>
                    <w:t xml:space="preserve">SBIH</w:t>
                  </w:r>
                </w:p>
              </w:tc>
              <w:tc>
                <w:tcPr/>
                <w:p>
                  <w:pPr>
                    <w:pStyle w:val="Compact"/>
                    <w:jc w:val="center"/>
                    <w:jc w:val="center"/>
                  </w:pPr>
                  <w:r>
                    <w:t xml:space="preserve">Itaituba</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Prefeitura</w:t>
                  </w:r>
                </w:p>
              </w:tc>
            </w:tr>
            <w:tr>
              <w:tc>
                <w:tcPr/>
                <w:p>
                  <w:pPr>
                    <w:pStyle w:val="Compact"/>
                    <w:jc w:val="center"/>
                    <w:jc w:val="center"/>
                  </w:pPr>
                  <w:r>
                    <w:t xml:space="preserve">CINDACTA IV</w:t>
                  </w:r>
                </w:p>
              </w:tc>
              <w:tc>
                <w:tcPr/>
                <w:p>
                  <w:pPr>
                    <w:pStyle w:val="Compact"/>
                    <w:jc w:val="center"/>
                    <w:jc w:val="center"/>
                  </w:pPr>
                  <w:r>
                    <w:t xml:space="preserve">AFIS</w:t>
                  </w:r>
                </w:p>
              </w:tc>
              <w:tc>
                <w:tcPr/>
                <w:p>
                  <w:pPr>
                    <w:pStyle w:val="Compact"/>
                    <w:jc w:val="center"/>
                    <w:jc w:val="center"/>
                  </w:pPr>
                  <w:r>
                    <w:t xml:space="preserve">SBJI</w:t>
                  </w:r>
                </w:p>
              </w:tc>
              <w:tc>
                <w:tcPr/>
                <w:p>
                  <w:pPr>
                    <w:pStyle w:val="Compact"/>
                    <w:jc w:val="center"/>
                    <w:jc w:val="center"/>
                  </w:pPr>
                  <w:r>
                    <w:t xml:space="preserve">Ji-Paraná</w:t>
                  </w:r>
                </w:p>
              </w:tc>
              <w:tc>
                <w:tcPr/>
                <w:p>
                  <w:pPr>
                    <w:pStyle w:val="Compact"/>
                    <w:jc w:val="center"/>
                    <w:jc w:val="center"/>
                  </w:pPr>
                  <w:r>
                    <w:t xml:space="preserve">ESAERO</w:t>
                  </w:r>
                </w:p>
              </w:tc>
              <w:tc>
                <w:tcPr/>
                <w:p>
                  <w:pPr>
                    <w:pStyle w:val="Compact"/>
                    <w:jc w:val="center"/>
                    <w:jc w:val="center"/>
                  </w:pPr>
                  <w:r>
                    <w:t xml:space="preserve">ESAERO</w:t>
                  </w:r>
                </w:p>
              </w:tc>
              <w:tc>
                <w:tcPr/>
                <w:p>
                  <w:pPr>
                    <w:pStyle w:val="Compact"/>
                    <w:jc w:val="center"/>
                    <w:jc w:val="center"/>
                  </w:pPr>
                  <w:r>
                    <w:t xml:space="preserve">ESAERO</w:t>
                  </w:r>
                </w:p>
              </w:tc>
            </w:tr>
            <w:tr>
              <w:tc>
                <w:tcPr/>
                <w:p>
                  <w:pPr>
                    <w:pStyle w:val="Compact"/>
                    <w:jc w:val="center"/>
                    <w:jc w:val="center"/>
                  </w:pPr>
                  <w:r>
                    <w:t xml:space="preserve">CINDACTA IV</w:t>
                  </w:r>
                </w:p>
              </w:tc>
              <w:tc>
                <w:tcPr/>
                <w:p>
                  <w:pPr>
                    <w:pStyle w:val="Compact"/>
                    <w:jc w:val="center"/>
                    <w:jc w:val="center"/>
                  </w:pPr>
                  <w:r>
                    <w:t xml:space="preserve">AFIS</w:t>
                  </w:r>
                </w:p>
              </w:tc>
              <w:tc>
                <w:tcPr/>
                <w:p>
                  <w:pPr>
                    <w:pStyle w:val="Compact"/>
                    <w:jc w:val="center"/>
                    <w:jc w:val="center"/>
                  </w:pPr>
                  <w:r>
                    <w:t xml:space="preserve">SBMA</w:t>
                  </w:r>
                </w:p>
              </w:tc>
              <w:tc>
                <w:tcPr/>
                <w:p>
                  <w:pPr>
                    <w:pStyle w:val="Compact"/>
                    <w:jc w:val="center"/>
                    <w:jc w:val="center"/>
                  </w:pPr>
                  <w:r>
                    <w:t xml:space="preserve">Marabá</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AENA</w:t>
                  </w:r>
                </w:p>
              </w:tc>
            </w:tr>
            <w:tr>
              <w:tc>
                <w:tcPr/>
                <w:p>
                  <w:pPr>
                    <w:pStyle w:val="Compact"/>
                    <w:jc w:val="center"/>
                    <w:jc w:val="center"/>
                  </w:pPr>
                  <w:r>
                    <w:t xml:space="preserve">CINDACTA IV</w:t>
                  </w:r>
                </w:p>
              </w:tc>
              <w:tc>
                <w:tcPr/>
                <w:p>
                  <w:pPr>
                    <w:pStyle w:val="Compact"/>
                    <w:jc w:val="center"/>
                    <w:jc w:val="center"/>
                  </w:pPr>
                  <w:r>
                    <w:t xml:space="preserve">AFIS</w:t>
                  </w:r>
                </w:p>
              </w:tc>
              <w:tc>
                <w:tcPr/>
                <w:p>
                  <w:pPr>
                    <w:pStyle w:val="Compact"/>
                    <w:jc w:val="center"/>
                    <w:jc w:val="center"/>
                  </w:pPr>
                  <w:r>
                    <w:t xml:space="preserve">SBRD</w:t>
                  </w:r>
                </w:p>
              </w:tc>
              <w:tc>
                <w:tcPr/>
                <w:p>
                  <w:pPr>
                    <w:pStyle w:val="Compact"/>
                    <w:jc w:val="center"/>
                    <w:jc w:val="center"/>
                  </w:pPr>
                  <w:r>
                    <w:t xml:space="preserve">Rondonópolis</w:t>
                  </w:r>
                </w:p>
              </w:tc>
              <w:tc>
                <w:tcPr/>
                <w:p>
                  <w:pPr>
                    <w:pStyle w:val="Compact"/>
                    <w:jc w:val="center"/>
                    <w:jc w:val="center"/>
                  </w:pPr>
                  <w:r>
                    <w:t xml:space="preserve">Consórcio Aeroeste</w:t>
                  </w:r>
                </w:p>
              </w:tc>
              <w:tc>
                <w:tcPr/>
                <w:p>
                  <w:pPr>
                    <w:pStyle w:val="Compact"/>
                    <w:jc w:val="center"/>
                    <w:jc w:val="center"/>
                  </w:pPr>
                  <w:r>
                    <w:t xml:space="preserve">SOCICAM</w:t>
                  </w:r>
                </w:p>
              </w:tc>
              <w:tc>
                <w:tcPr/>
                <w:p>
                  <w:pPr>
                    <w:pStyle w:val="Compact"/>
                    <w:jc w:val="center"/>
                    <w:jc w:val="center"/>
                  </w:pPr>
                  <w:r>
                    <w:t xml:space="preserve">COA - Centro Oeste Aeroportos</w:t>
                  </w:r>
                </w:p>
              </w:tc>
            </w:tr>
            <w:tr>
              <w:tc>
                <w:tcPr/>
                <w:p>
                  <w:pPr>
                    <w:pStyle w:val="Compact"/>
                    <w:jc w:val="center"/>
                    <w:jc w:val="center"/>
                  </w:pPr>
                  <w:r>
                    <w:t xml:space="preserve">CINDACTA IV</w:t>
                  </w:r>
                </w:p>
              </w:tc>
              <w:tc>
                <w:tcPr/>
                <w:p>
                  <w:pPr>
                    <w:pStyle w:val="Compact"/>
                    <w:jc w:val="center"/>
                    <w:jc w:val="center"/>
                  </w:pPr>
                  <w:r>
                    <w:t xml:space="preserve">AFIS</w:t>
                  </w:r>
                </w:p>
              </w:tc>
              <w:tc>
                <w:tcPr/>
                <w:p>
                  <w:pPr>
                    <w:pStyle w:val="Compact"/>
                    <w:jc w:val="center"/>
                    <w:jc w:val="center"/>
                  </w:pPr>
                  <w:r>
                    <w:t xml:space="preserve">SBSI</w:t>
                  </w:r>
                </w:p>
              </w:tc>
              <w:tc>
                <w:tcPr/>
                <w:p>
                  <w:pPr>
                    <w:pStyle w:val="Compact"/>
                    <w:jc w:val="center"/>
                    <w:jc w:val="center"/>
                  </w:pPr>
                  <w:r>
                    <w:t xml:space="preserve">SINOP</w:t>
                  </w:r>
                </w:p>
              </w:tc>
              <w:tc>
                <w:tcPr/>
                <w:p>
                  <w:pPr>
                    <w:pStyle w:val="Compact"/>
                    <w:jc w:val="center"/>
                    <w:jc w:val="center"/>
                  </w:pPr>
                  <w:r>
                    <w:t xml:space="preserve">Centro-Oeste Airports</w:t>
                  </w:r>
                </w:p>
              </w:tc>
              <w:tc>
                <w:tcPr/>
                <w:p>
                  <w:pPr>
                    <w:pStyle w:val="Compact"/>
                    <w:jc w:val="center"/>
                    <w:jc w:val="center"/>
                  </w:pPr>
                  <w:r>
                    <w:t xml:space="preserve">Centro-Oeste Airports</w:t>
                  </w:r>
                </w:p>
              </w:tc>
              <w:tc>
                <w:tcPr/>
                <w:p>
                  <w:pPr>
                    <w:pStyle w:val="Compact"/>
                    <w:jc w:val="center"/>
                    <w:jc w:val="center"/>
                  </w:pPr>
                  <w:r>
                    <w:t xml:space="preserve">COA - Centro Oeste Aeroportos</w:t>
                  </w:r>
                </w:p>
              </w:tc>
            </w:tr>
            <w:tr>
              <w:tc>
                <w:tcPr/>
                <w:p>
                  <w:pPr>
                    <w:pStyle w:val="Compact"/>
                    <w:jc w:val="center"/>
                    <w:jc w:val="center"/>
                  </w:pPr>
                  <w:r>
                    <w:t xml:space="preserve">CINDACTA IV</w:t>
                  </w:r>
                </w:p>
              </w:tc>
              <w:tc>
                <w:tcPr/>
                <w:p>
                  <w:pPr>
                    <w:pStyle w:val="Compact"/>
                    <w:jc w:val="center"/>
                    <w:jc w:val="center"/>
                  </w:pPr>
                  <w:r>
                    <w:t xml:space="preserve">AFIS</w:t>
                  </w:r>
                </w:p>
              </w:tc>
              <w:tc>
                <w:tcPr/>
                <w:p>
                  <w:pPr>
                    <w:pStyle w:val="Compact"/>
                    <w:jc w:val="center"/>
                    <w:jc w:val="center"/>
                  </w:pPr>
                  <w:r>
                    <w:t xml:space="preserve">SBSO</w:t>
                  </w:r>
                </w:p>
              </w:tc>
              <w:tc>
                <w:tcPr/>
                <w:p>
                  <w:pPr>
                    <w:pStyle w:val="Compact"/>
                    <w:jc w:val="center"/>
                    <w:jc w:val="center"/>
                  </w:pPr>
                  <w:r>
                    <w:t xml:space="preserve">Sorriso</w:t>
                  </w:r>
                </w:p>
              </w:tc>
              <w:tc>
                <w:tcPr/>
                <w:p>
                  <w:pPr>
                    <w:pStyle w:val="Compact"/>
                    <w:jc w:val="center"/>
                    <w:jc w:val="center"/>
                  </w:pPr>
                  <w:r>
                    <w:t xml:space="preserve">Municipal</w:t>
                  </w:r>
                </w:p>
              </w:tc>
              <w:tc>
                <w:tcPr/>
                <w:p>
                  <w:pPr>
                    <w:pStyle w:val="Compact"/>
                    <w:jc w:val="center"/>
                    <w:jc w:val="center"/>
                  </w:pPr>
                  <w:r>
                    <w:t xml:space="preserve">MVS</w:t>
                  </w:r>
                </w:p>
              </w:tc>
              <w:tc>
                <w:tcPr/>
                <w:p>
                  <w:pPr>
                    <w:pStyle w:val="Compact"/>
                    <w:jc w:val="center"/>
                    <w:jc w:val="center"/>
                  </w:pPr>
                  <w:r>
                    <w:t xml:space="preserve"> INFRAERO</w:t>
                  </w:r>
                </w:p>
              </w:tc>
            </w:tr>
            <w:tr>
              <w:tc>
                <w:tcPr/>
                <w:p>
                  <w:pPr>
                    <w:pStyle w:val="Compact"/>
                    <w:jc w:val="center"/>
                    <w:jc w:val="center"/>
                  </w:pPr>
                  <w:r>
                    <w:t xml:space="preserve">CINDACTA IV</w:t>
                  </w:r>
                </w:p>
              </w:tc>
              <w:tc>
                <w:tcPr/>
                <w:p>
                  <w:pPr>
                    <w:pStyle w:val="Compact"/>
                    <w:jc w:val="center"/>
                    <w:jc w:val="center"/>
                  </w:pPr>
                  <w:r>
                    <w:t xml:space="preserve">AFIS</w:t>
                  </w:r>
                </w:p>
              </w:tc>
              <w:tc>
                <w:tcPr/>
                <w:p>
                  <w:pPr>
                    <w:pStyle w:val="Compact"/>
                    <w:jc w:val="center"/>
                    <w:jc w:val="center"/>
                  </w:pPr>
                  <w:r>
                    <w:t xml:space="preserve">SBTB</w:t>
                  </w:r>
                </w:p>
              </w:tc>
              <w:tc>
                <w:tcPr/>
                <w:p>
                  <w:pPr>
                    <w:pStyle w:val="Compact"/>
                    <w:jc w:val="center"/>
                    <w:jc w:val="center"/>
                  </w:pPr>
                  <w:r>
                    <w:t xml:space="preserve">Trombetas</w:t>
                  </w:r>
                </w:p>
              </w:tc>
              <w:tc>
                <w:tcPr/>
                <w:p>
                  <w:pPr>
                    <w:pStyle w:val="Compact"/>
                    <w:jc w:val="center"/>
                    <w:jc w:val="center"/>
                  </w:pPr>
                  <w:r>
                    <w:t xml:space="preserve">Mineração Rio do Norte</w:t>
                  </w:r>
                </w:p>
              </w:tc>
              <w:tc>
                <w:tcPr/>
                <w:p>
                  <w:pPr>
                    <w:pStyle w:val="Compact"/>
                    <w:jc w:val="center"/>
                    <w:jc w:val="center"/>
                  </w:pPr>
                  <w:r>
                    <w:t xml:space="preserve">Mineração Rio do Norte</w:t>
                  </w:r>
                </w:p>
              </w:tc>
              <w:tc>
                <w:tcPr/>
                <w:p>
                  <w:pPr>
                    <w:pStyle w:val="Compact"/>
                    <w:jc w:val="center"/>
                    <w:jc w:val="center"/>
                  </w:pPr>
                  <w:r>
                    <w:t xml:space="preserve"> Mineração Rio do Norte</w:t>
                  </w:r>
                </w:p>
              </w:tc>
            </w:tr>
            <w:tr>
              <w:tc>
                <w:tcPr/>
                <w:p>
                  <w:pPr>
                    <w:pStyle w:val="Compact"/>
                    <w:jc w:val="center"/>
                    <w:jc w:val="center"/>
                  </w:pPr>
                  <w:r>
                    <w:t xml:space="preserve">CINDACTA IV</w:t>
                  </w:r>
                </w:p>
              </w:tc>
              <w:tc>
                <w:tcPr/>
                <w:p>
                  <w:pPr>
                    <w:pStyle w:val="Compact"/>
                    <w:jc w:val="center"/>
                    <w:jc w:val="center"/>
                  </w:pPr>
                  <w:r>
                    <w:t xml:space="preserve">AFIS</w:t>
                  </w:r>
                </w:p>
              </w:tc>
              <w:tc>
                <w:tcPr/>
                <w:p>
                  <w:pPr>
                    <w:pStyle w:val="Compact"/>
                    <w:jc w:val="center"/>
                    <w:jc w:val="center"/>
                  </w:pPr>
                  <w:r>
                    <w:t xml:space="preserve">SBTF</w:t>
                  </w:r>
                </w:p>
              </w:tc>
              <w:tc>
                <w:tcPr/>
                <w:p>
                  <w:pPr>
                    <w:pStyle w:val="Compact"/>
                    <w:jc w:val="center"/>
                    <w:jc w:val="center"/>
                  </w:pPr>
                  <w:r>
                    <w:t xml:space="preserve">Tefé</w:t>
                  </w:r>
                </w:p>
              </w:tc>
              <w:tc>
                <w:tcPr/>
                <w:p>
                  <w:pPr>
                    <w:pStyle w:val="Compact"/>
                    <w:jc w:val="center"/>
                    <w:jc w:val="center"/>
                  </w:pPr>
                  <w:r>
                    <w:t xml:space="preserve">NAV BRASIL</w:t>
                  </w:r>
                </w:p>
              </w:tc>
              <w:tc>
                <w:tcPr/>
                <w:p>
                  <w:pPr>
                    <w:pStyle w:val="Compact"/>
                    <w:jc w:val="center"/>
                    <w:jc w:val="center"/>
                  </w:pPr>
                  <w:r>
                    <w:t xml:space="preserve">DNB</w:t>
                  </w:r>
                </w:p>
              </w:tc>
              <w:tc>
                <w:tcPr/>
                <w:p>
                  <w:pPr>
                    <w:pStyle w:val="Compact"/>
                    <w:jc w:val="center"/>
                    <w:jc w:val="center"/>
                  </w:pPr>
                  <w:r>
                    <w:t xml:space="preserve"> VINCI AIRPORTS</w:t>
                  </w:r>
                </w:p>
              </w:tc>
            </w:tr>
            <w:tr>
              <w:tc>
                <w:tcPr/>
                <w:p>
                  <w:pPr>
                    <w:pStyle w:val="Compact"/>
                    <w:jc w:val="center"/>
                    <w:jc w:val="center"/>
                  </w:pPr>
                  <w:r>
                    <w:t xml:space="preserve">CINDACTA IV</w:t>
                  </w:r>
                </w:p>
              </w:tc>
              <w:tc>
                <w:tcPr/>
                <w:p>
                  <w:pPr>
                    <w:pStyle w:val="Compact"/>
                    <w:jc w:val="center"/>
                    <w:jc w:val="center"/>
                  </w:pPr>
                  <w:r>
                    <w:t xml:space="preserve">AFIS</w:t>
                  </w:r>
                </w:p>
              </w:tc>
              <w:tc>
                <w:tcPr/>
                <w:p>
                  <w:pPr>
                    <w:pStyle w:val="Compact"/>
                    <w:jc w:val="center"/>
                    <w:jc w:val="center"/>
                  </w:pPr>
                  <w:r>
                    <w:t xml:space="preserve">SBUY</w:t>
                  </w:r>
                </w:p>
              </w:tc>
              <w:tc>
                <w:tcPr/>
                <w:p>
                  <w:pPr>
                    <w:pStyle w:val="Compact"/>
                    <w:jc w:val="center"/>
                    <w:jc w:val="center"/>
                  </w:pPr>
                  <w:r>
                    <w:t xml:space="preserve">Urucu</w:t>
                  </w:r>
                </w:p>
              </w:tc>
              <w:tc>
                <w:tcPr/>
                <w:p>
                  <w:pPr>
                    <w:pStyle w:val="Compact"/>
                    <w:jc w:val="center"/>
                    <w:jc w:val="center"/>
                  </w:pPr>
                  <w:r>
                    <w:t xml:space="preserve">Petrobras</w:t>
                  </w:r>
                </w:p>
              </w:tc>
              <w:tc>
                <w:tcPr/>
                <w:p>
                  <w:pPr>
                    <w:pStyle w:val="Compact"/>
                    <w:jc w:val="center"/>
                    <w:jc w:val="center"/>
                  </w:pPr>
                  <w:r>
                    <w:t xml:space="preserve">AIRLIFT</w:t>
                  </w:r>
                </w:p>
              </w:tc>
              <w:tc>
                <w:tcPr/>
                <w:p>
                  <w:pPr>
                    <w:pStyle w:val="Compact"/>
                    <w:jc w:val="center"/>
                    <w:jc w:val="center"/>
                  </w:pPr>
                  <w:r>
                    <w:t xml:space="preserve">Petrobras</w:t>
                  </w:r>
                </w:p>
              </w:tc>
            </w:tr>
            <w:tr>
              <w:tc>
                <w:tcPr/>
                <w:p>
                  <w:pPr>
                    <w:pStyle w:val="Compact"/>
                    <w:jc w:val="center"/>
                    <w:jc w:val="center"/>
                  </w:pPr>
                  <w:r>
                    <w:t xml:space="preserve">CINDACTA IV</w:t>
                  </w:r>
                </w:p>
              </w:tc>
              <w:tc>
                <w:tcPr/>
                <w:p>
                  <w:pPr>
                    <w:pStyle w:val="Compact"/>
                    <w:jc w:val="center"/>
                    <w:jc w:val="center"/>
                  </w:pPr>
                  <w:r>
                    <w:t xml:space="preserve">AFIS</w:t>
                  </w:r>
                </w:p>
              </w:tc>
              <w:tc>
                <w:tcPr/>
                <w:p>
                  <w:pPr>
                    <w:pStyle w:val="Compact"/>
                    <w:jc w:val="center"/>
                    <w:jc w:val="center"/>
                  </w:pPr>
                  <w:r>
                    <w:t xml:space="preserve">SSKW</w:t>
                  </w:r>
                </w:p>
              </w:tc>
              <w:tc>
                <w:tcPr/>
                <w:p>
                  <w:pPr>
                    <w:pStyle w:val="Compact"/>
                    <w:jc w:val="center"/>
                    <w:jc w:val="center"/>
                  </w:pPr>
                  <w:r>
                    <w:t xml:space="preserve">Cacoal</w:t>
                  </w:r>
                </w:p>
              </w:tc>
              <w:tc>
                <w:tcPr/>
                <w:p>
                  <w:pPr>
                    <w:pStyle w:val="Compact"/>
                    <w:jc w:val="center"/>
                    <w:jc w:val="center"/>
                  </w:pPr>
                  <w:r>
                    <w:t xml:space="preserve">ESAERO</w:t>
                  </w:r>
                </w:p>
              </w:tc>
              <w:tc>
                <w:tcPr/>
                <w:p>
                  <w:pPr>
                    <w:pStyle w:val="Compact"/>
                    <w:jc w:val="center"/>
                    <w:jc w:val="center"/>
                  </w:pPr>
                  <w:r>
                    <w:t xml:space="preserve">ESAERO</w:t>
                  </w:r>
                </w:p>
              </w:tc>
              <w:tc>
                <w:tcPr/>
                <w:p>
                  <w:pPr>
                    <w:pStyle w:val="Compact"/>
                    <w:jc w:val="center"/>
                    <w:jc w:val="center"/>
                  </w:pPr>
                  <w:r>
                    <w:t xml:space="preserve">ESAERO</w:t>
                  </w:r>
                </w:p>
              </w:tc>
            </w:tr>
            <w:tr>
              <w:tc>
                <w:tcPr/>
                <w:p>
                  <w:pPr>
                    <w:pStyle w:val="Compact"/>
                    <w:jc w:val="center"/>
                    <w:jc w:val="center"/>
                  </w:pPr>
                  <w:r>
                    <w:t xml:space="preserve">CINDACTA IV</w:t>
                  </w:r>
                </w:p>
              </w:tc>
              <w:tc>
                <w:tcPr/>
                <w:p>
                  <w:pPr>
                    <w:pStyle w:val="Compact"/>
                    <w:jc w:val="center"/>
                    <w:jc w:val="center"/>
                  </w:pPr>
                  <w:r>
                    <w:t xml:space="preserve">R-AFIS</w:t>
                  </w:r>
                </w:p>
              </w:tc>
              <w:tc>
                <w:tcPr/>
                <w:p>
                  <w:pPr>
                    <w:pStyle w:val="Compact"/>
                    <w:jc w:val="center"/>
                    <w:jc w:val="center"/>
                  </w:pPr>
                  <w:r>
                    <w:t xml:space="preserve">SBOI</w:t>
                  </w:r>
                </w:p>
              </w:tc>
              <w:tc>
                <w:tcPr/>
                <w:p>
                  <w:pPr>
                    <w:pStyle w:val="Compact"/>
                    <w:jc w:val="center"/>
                    <w:jc w:val="center"/>
                  </w:pPr>
                  <w:r>
                    <w:t xml:space="preserve">Oiapoque</w:t>
                  </w:r>
                </w:p>
              </w:tc>
              <w:tc>
                <w:tcPr/>
                <w:p>
                  <w:pPr>
                    <w:pStyle w:val="Compact"/>
                    <w:jc w:val="center"/>
                    <w:jc w:val="center"/>
                  </w:pPr>
                  <w:r>
                    <w:t xml:space="preserve">CINDACTA IV*</w:t>
                  </w:r>
                </w:p>
              </w:tc>
              <w:tc>
                <w:tcPr/>
                <w:p>
                  <w:pPr>
                    <w:pStyle w:val="Compact"/>
                    <w:jc w:val="center"/>
                    <w:jc w:val="center"/>
                  </w:pPr>
                  <w:r>
                    <w:t xml:space="preserve">CINDACTA IV*</w:t>
                  </w:r>
                </w:p>
              </w:tc>
              <w:tc>
                <w:tcPr/>
                <w:p>
                  <w:pPr>
                    <w:pStyle w:val="Compact"/>
                    <w:jc w:val="center"/>
                    <w:jc w:val="center"/>
                  </w:pPr>
                  <w:r>
                    <w:t xml:space="preserve">  Prefeitura de Oiapoque</w:t>
                  </w:r>
                </w:p>
              </w:tc>
            </w:tr>
            <w:tr>
              <w:tc>
                <w:tcPr/>
                <w:p>
                  <w:pPr>
                    <w:pStyle w:val="Compact"/>
                    <w:jc w:val="center"/>
                    <w:jc w:val="center"/>
                  </w:pPr>
                  <w:r>
                    <w:t xml:space="preserve">CINDACTA IV</w:t>
                  </w:r>
                </w:p>
              </w:tc>
              <w:tc>
                <w:tcPr/>
                <w:p>
                  <w:pPr>
                    <w:pStyle w:val="Compact"/>
                    <w:jc w:val="center"/>
                    <w:jc w:val="center"/>
                  </w:pPr>
                  <w:r>
                    <w:t xml:space="preserve">R-AFIS</w:t>
                  </w:r>
                </w:p>
              </w:tc>
              <w:tc>
                <w:tcPr/>
                <w:p>
                  <w:pPr>
                    <w:pStyle w:val="Compact"/>
                    <w:jc w:val="center"/>
                    <w:jc w:val="center"/>
                  </w:pPr>
                  <w:r>
                    <w:t xml:space="preserve">SBVH</w:t>
                  </w:r>
                </w:p>
              </w:tc>
              <w:tc>
                <w:tcPr/>
                <w:p>
                  <w:pPr>
                    <w:pStyle w:val="Compact"/>
                    <w:jc w:val="center"/>
                    <w:jc w:val="center"/>
                  </w:pPr>
                  <w:r>
                    <w:t xml:space="preserve">Vilhena</w:t>
                  </w:r>
                </w:p>
              </w:tc>
              <w:tc>
                <w:tcPr/>
                <w:p>
                  <w:pPr>
                    <w:pStyle w:val="Compact"/>
                    <w:jc w:val="center"/>
                    <w:jc w:val="center"/>
                  </w:pPr>
                  <w:r>
                    <w:t xml:space="preserve">CINDACTA IV*</w:t>
                  </w:r>
                </w:p>
              </w:tc>
              <w:tc>
                <w:tcPr/>
                <w:p>
                  <w:pPr>
                    <w:pStyle w:val="Compact"/>
                    <w:jc w:val="center"/>
                    <w:jc w:val="center"/>
                  </w:pPr>
                  <w:r>
                    <w:t xml:space="preserve">CINDACTA IV*</w:t>
                  </w:r>
                </w:p>
              </w:tc>
              <w:tc>
                <w:tcPr/>
                <w:p>
                  <w:pPr>
                    <w:pStyle w:val="Compact"/>
                    <w:jc w:val="center"/>
                    <w:jc w:val="center"/>
                  </w:pPr>
                  <w:r>
                    <w:t xml:space="preserve">AUCON</w:t>
                  </w:r>
                </w:p>
              </w:tc>
            </w:tr>
            <w:tr>
              <w:tc>
                <w:tcPr/>
                <w:p>
                  <w:pPr>
                    <w:pStyle w:val="Compact"/>
                    <w:jc w:val="center"/>
                    <w:jc w:val="center"/>
                  </w:pPr>
                  <w:r>
                    <w:t xml:space="preserve">CINDACTA IV</w:t>
                  </w:r>
                </w:p>
              </w:tc>
              <w:tc>
                <w:tcPr/>
                <w:p>
                  <w:pPr>
                    <w:pStyle w:val="Compact"/>
                    <w:jc w:val="center"/>
                    <w:jc w:val="center"/>
                  </w:pPr>
                  <w:r>
                    <w:t xml:space="preserve">R-AFIS</w:t>
                  </w:r>
                </w:p>
              </w:tc>
              <w:tc>
                <w:tcPr/>
                <w:p>
                  <w:pPr>
                    <w:pStyle w:val="Compact"/>
                    <w:jc w:val="center"/>
                    <w:jc w:val="center"/>
                  </w:pPr>
                  <w:r>
                    <w:t xml:space="preserve">SBTT</w:t>
                  </w:r>
                </w:p>
              </w:tc>
              <w:tc>
                <w:tcPr/>
                <w:p>
                  <w:pPr>
                    <w:pStyle w:val="Compact"/>
                    <w:jc w:val="center"/>
                    <w:jc w:val="center"/>
                  </w:pPr>
                  <w:r>
                    <w:t xml:space="preserve">Tabatinga</w:t>
                  </w:r>
                </w:p>
              </w:tc>
              <w:tc>
                <w:tcPr/>
                <w:p>
                  <w:pPr>
                    <w:pStyle w:val="Compact"/>
                    <w:jc w:val="center"/>
                    <w:jc w:val="center"/>
                  </w:pPr>
                  <w:r>
                    <w:t xml:space="preserve">CINDACTA IV*</w:t>
                  </w:r>
                </w:p>
              </w:tc>
              <w:tc>
                <w:tcPr/>
                <w:p>
                  <w:pPr>
                    <w:pStyle w:val="Compact"/>
                    <w:jc w:val="center"/>
                    <w:jc w:val="center"/>
                  </w:pPr>
                  <w:r>
                    <w:t xml:space="preserve">CINDACTA IV*</w:t>
                  </w:r>
                </w:p>
              </w:tc>
              <w:tc>
                <w:tcPr/>
                <w:p>
                  <w:pPr>
                    <w:pStyle w:val="Compact"/>
                    <w:jc w:val="center"/>
                    <w:jc w:val="center"/>
                  </w:pPr>
                  <w:r>
                    <w:t xml:space="preserve"> VINCI AIRPORTS</w:t>
                  </w:r>
                </w:p>
              </w:tc>
            </w:tr>
            <w:tr>
              <w:tc>
                <w:tcPr/>
                <w:p>
                  <w:pPr>
                    <w:pStyle w:val="Compact"/>
                    <w:jc w:val="center"/>
                    <w:jc w:val="center"/>
                  </w:pPr>
                  <w:r>
                    <w:t xml:space="preserve">CINDACTA IV</w:t>
                  </w:r>
                </w:p>
              </w:tc>
              <w:tc>
                <w:tcPr/>
                <w:p>
                  <w:pPr>
                    <w:pStyle w:val="Compact"/>
                    <w:jc w:val="center"/>
                    <w:jc w:val="center"/>
                  </w:pPr>
                  <w:r>
                    <w:t xml:space="preserve">R-AFIS</w:t>
                  </w:r>
                </w:p>
              </w:tc>
              <w:tc>
                <w:tcPr/>
                <w:p>
                  <w:pPr>
                    <w:pStyle w:val="Compact"/>
                    <w:jc w:val="center"/>
                    <w:jc w:val="center"/>
                  </w:pPr>
                  <w:r>
                    <w:t xml:space="preserve">SBGM</w:t>
                  </w:r>
                </w:p>
              </w:tc>
              <w:tc>
                <w:tcPr/>
                <w:p>
                  <w:pPr>
                    <w:pStyle w:val="Compact"/>
                    <w:jc w:val="center"/>
                    <w:jc w:val="center"/>
                  </w:pPr>
                  <w:r>
                    <w:t xml:space="preserve">Guajará Mirim</w:t>
                  </w:r>
                </w:p>
              </w:tc>
              <w:tc>
                <w:tcPr/>
                <w:p>
                  <w:pPr>
                    <w:pStyle w:val="Compact"/>
                    <w:jc w:val="center"/>
                    <w:jc w:val="center"/>
                  </w:pPr>
                  <w:r>
                    <w:t xml:space="preserve">CINDACTA IV*</w:t>
                  </w:r>
                </w:p>
              </w:tc>
              <w:tc>
                <w:tcPr/>
                <w:p>
                  <w:pPr>
                    <w:pStyle w:val="Compact"/>
                    <w:jc w:val="center"/>
                    <w:jc w:val="center"/>
                  </w:pPr>
                  <w:r>
                    <w:t xml:space="preserve">CINDACTA IV*</w:t>
                  </w:r>
                </w:p>
              </w:tc>
              <w:tc>
                <w:tcPr/>
                <w:p>
                  <w:pPr>
                    <w:pStyle w:val="Compact"/>
                    <w:jc w:val="center"/>
                    <w:jc w:val="center"/>
                  </w:pPr>
                  <w:r>
                    <w:t xml:space="preserve">Governo do Estado</w:t>
                  </w:r>
                </w:p>
              </w:tc>
            </w:tr>
            <w:tr>
              <w:tc>
                <w:tcPr/>
                <w:p>
                  <w:pPr>
                    <w:pStyle w:val="Compact"/>
                    <w:jc w:val="center"/>
                    <w:jc w:val="center"/>
                  </w:pPr>
                  <w:r>
                    <w:t xml:space="preserve">CINDACTA IV</w:t>
                  </w:r>
                </w:p>
              </w:tc>
              <w:tc>
                <w:tcPr/>
                <w:p>
                  <w:pPr>
                    <w:pStyle w:val="Compact"/>
                    <w:jc w:val="center"/>
                    <w:jc w:val="center"/>
                  </w:pPr>
                  <w:r>
                    <w:t xml:space="preserve">R-AFIS</w:t>
                  </w:r>
                </w:p>
              </w:tc>
              <w:tc>
                <w:tcPr/>
                <w:p>
                  <w:pPr>
                    <w:pStyle w:val="Compact"/>
                    <w:jc w:val="center"/>
                    <w:jc w:val="center"/>
                  </w:pPr>
                  <w:r>
                    <w:t xml:space="preserve">SBUA</w:t>
                  </w:r>
                </w:p>
              </w:tc>
              <w:tc>
                <w:tcPr/>
                <w:p>
                  <w:pPr>
                    <w:pStyle w:val="Compact"/>
                    <w:jc w:val="center"/>
                    <w:jc w:val="center"/>
                  </w:pPr>
                  <w:r>
                    <w:t xml:space="preserve">São Gabriel da Cachoeira</w:t>
                  </w:r>
                </w:p>
              </w:tc>
              <w:tc>
                <w:tcPr/>
                <w:p>
                  <w:pPr>
                    <w:pStyle w:val="Compact"/>
                    <w:jc w:val="center"/>
                    <w:jc w:val="center"/>
                  </w:pPr>
                  <w:r>
                    <w:t xml:space="preserve">CINDACTA IV*</w:t>
                  </w:r>
                </w:p>
              </w:tc>
              <w:tc>
                <w:tcPr/>
                <w:p>
                  <w:pPr>
                    <w:pStyle w:val="Compact"/>
                    <w:jc w:val="center"/>
                    <w:jc w:val="center"/>
                  </w:pPr>
                  <w:r>
                    <w:t xml:space="preserve">CINDACTA IV*</w:t>
                  </w:r>
                </w:p>
              </w:tc>
              <w:tc>
                <w:tcPr/>
                <w:p>
                  <w:pPr>
                    <w:pStyle w:val="Compact"/>
                    <w:jc w:val="center"/>
                    <w:jc w:val="center"/>
                  </w:pPr>
                  <w:r>
                    <w:t xml:space="preserve"> Prefeitura Municipal de São Gabriel da Cachoeira</w:t>
                  </w:r>
                </w:p>
              </w:tc>
            </w:tr>
            <w:tr>
              <w:tc>
                <w:tcPr/>
                <w:p>
                  <w:pPr>
                    <w:pStyle w:val="Compact"/>
                    <w:jc w:val="center"/>
                    <w:jc w:val="center"/>
                  </w:pPr>
                  <w:r>
                    <w:t xml:space="preserve">CINDACTA IV</w:t>
                  </w:r>
                </w:p>
              </w:tc>
              <w:tc>
                <w:tcPr/>
                <w:p>
                  <w:pPr>
                    <w:pStyle w:val="Compact"/>
                    <w:jc w:val="center"/>
                    <w:jc w:val="center"/>
                  </w:pPr>
                  <w:r>
                    <w:t xml:space="preserve">R-AFIS</w:t>
                  </w:r>
                </w:p>
              </w:tc>
              <w:tc>
                <w:tcPr/>
                <w:p>
                  <w:pPr>
                    <w:pStyle w:val="Compact"/>
                    <w:jc w:val="center"/>
                    <w:jc w:val="center"/>
                  </w:pPr>
                  <w:r>
                    <w:t xml:space="preserve">SBTS</w:t>
                  </w:r>
                </w:p>
              </w:tc>
              <w:tc>
                <w:tcPr/>
                <w:p>
                  <w:pPr>
                    <w:pStyle w:val="Compact"/>
                    <w:jc w:val="center"/>
                    <w:jc w:val="center"/>
                  </w:pPr>
                  <w:r>
                    <w:t xml:space="preserve">Tiriós</w:t>
                  </w:r>
                </w:p>
              </w:tc>
              <w:tc>
                <w:tcPr/>
                <w:p>
                  <w:pPr>
                    <w:pStyle w:val="Compact"/>
                    <w:jc w:val="center"/>
                    <w:jc w:val="center"/>
                  </w:pPr>
                  <w:r>
                    <w:t xml:space="preserve">CINDACTA IV</w:t>
                  </w:r>
                </w:p>
              </w:tc>
              <w:tc>
                <w:tcPr/>
                <w:p>
                  <w:pPr>
                    <w:pStyle w:val="Compact"/>
                    <w:jc w:val="center"/>
                    <w:jc w:val="center"/>
                  </w:pPr>
                  <w:r>
                    <w:t xml:space="preserve">CINDACTA IV*</w:t>
                  </w:r>
                </w:p>
              </w:tc>
              <w:tc>
                <w:tcPr/>
                <w:p>
                  <w:pPr>
                    <w:pStyle w:val="Compact"/>
                    <w:jc w:val="center"/>
                    <w:jc w:val="center"/>
                  </w:pPr>
                  <w:r>
                    <w:t xml:space="preserve">FAB</w:t>
                  </w:r>
                </w:p>
              </w:tc>
            </w:tr>
            <w:tr>
              <w:tc>
                <w:tcPr/>
                <w:p>
                  <w:pPr>
                    <w:pStyle w:val="Compact"/>
                    <w:jc w:val="center"/>
                    <w:jc w:val="center"/>
                  </w:pPr>
                  <w:r>
                    <w:t xml:space="preserve">NA</w:t>
                  </w:r>
                </w:p>
              </w:tc>
              <w:tc>
                <w:tcPr/>
                <w:p>
                  <w:pPr>
                    <w:pStyle w:val="Compact"/>
                    <w:jc w:val="center"/>
                    <w:jc w:val="center"/>
                  </w:pPr>
                  <w:r>
                    <w:t xml:space="preserve">NA</w:t>
                  </w:r>
                </w:p>
              </w:tc>
              <w:tc>
                <w:tcPr/>
                <w:p>
                  <w:pPr>
                    <w:pStyle w:val="Compact"/>
                    <w:jc w:val="center"/>
                    <w:jc w:val="center"/>
                  </w:pPr>
                  <w:r>
                    <w:t xml:space="preserve">NA</w:t>
                  </w:r>
                </w:p>
              </w:tc>
              <w:tc>
                <w:tcPr/>
                <w:p>
                  <w:pPr>
                    <w:pStyle w:val="Compact"/>
                    <w:jc w:val="center"/>
                    <w:jc w:val="center"/>
                  </w:pPr>
                  <w:r>
                    <w:t xml:space="preserve">NA</w:t>
                  </w:r>
                </w:p>
              </w:tc>
              <w:tc>
                <w:tcPr/>
                <w:p>
                  <w:pPr>
                    <w:pStyle w:val="Compact"/>
                    <w:jc w:val="center"/>
                    <w:jc w:val="center"/>
                  </w:pPr>
                  <w:r>
                    <w:t xml:space="preserve">*Operam remotamente das dependências do ACC Amazônico</w:t>
                  </w:r>
                </w:p>
              </w:tc>
              <w:tc>
                <w:tcPr/>
                <w:p>
                  <w:pPr>
                    <w:pStyle w:val="Compact"/>
                    <w:jc w:val="center"/>
                    <w:jc w:val="center"/>
                  </w:pPr>
                  <w:r>
                    <w:t xml:space="preserve">NA</w:t>
                  </w:r>
                </w:p>
              </w:tc>
              <w:tc>
                <w:tcPr/>
                <w:p>
                  <w:pPr>
                    <w:pStyle w:val="Compact"/>
                    <w:jc w:val="center"/>
                    <w:jc w:val="center"/>
                  </w:pPr>
                  <w:r>
                    <w:t xml:space="preserve">NA</w:t>
                  </w:r>
                </w:p>
              </w:tc>
            </w:tr>
          </w:tbl>
          <w:bookmarkEnd w:id="499"/>
          <w:p/>
        </w:tc>
      </w:tr>
    </w:tbl>
    <w:p>
      <w:pPr>
        <w:pStyle w:val="Corpodetexto"/>
      </w:pPr>
      <w:r>
        <w:rPr>
          <w:b/>
          <w:bCs/>
        </w:rPr>
        <w:t xml:space="preserve">CRCEA-SE</w:t>
      </w:r>
    </w:p>
    <w:p>
      <w:pPr>
        <w:pStyle w:val="Corpodetexto"/>
      </w:pPr>
      <w:r>
        <w:t xml:space="preserve">O CRCEA-SE é composto por 4 APP, 13 TWR, 7 AFIS e 1 D-TWR. Em determinados horários, alguns APP e TWR operam como AFIS, conforme especificado na</w:t>
      </w:r>
      <w:r>
        <w:t xml:space="preserve"> </w:t>
      </w:r>
      <w:hyperlink w:anchor="tbl-quadro-crcease">
        <w:r>
          <w:rPr>
            <w:rStyle w:val="Hyperlink"/>
          </w:rPr>
          <w:t xml:space="preserve">Tabela 5.5</w:t>
        </w:r>
      </w:hyperlink>
      <w:r>
        <w:t xml:space="preserve"> </w:t>
      </w:r>
      <w:r>
        <w:t xml:space="preserve">abaixo:</w:t>
      </w:r>
    </w:p>
    <w:tbl>
      <w:tblPr>
        <w:tblStyle w:val="Table"/>
        <w:tblW w:type="pct" w:w="5000"/>
        <w:tblLayout w:type="fixed"/>
        <w:tblLook w:firstRow="0" w:lastRow="0" w:firstColumn="0" w:lastColumn="0" w:noHBand="0" w:noVBand="0" w:val="0000"/>
      </w:tblPr>
      <w:tblGrid>
        <w:gridCol w:w="7920"/>
      </w:tblGrid>
      <w:tr>
        <w:tc>
          <w:tcPr/>
          <w:bookmarkStart w:id="500" w:name="tbl-quadro-crcease"/>
          <w:p>
            <w:pPr>
              <w:jc w:val="center"/>
            </w:pPr>
            <w:pPr>
              <w:jc w:val="left"/>
              <w:spacing w:before="200"/>
              <w:pStyle w:val="ImageCaption"/>
            </w:pPr>
            <w:r>
              <w:t xml:space="preserve">Tabela 5.5: Órgãos ATS do CRCEA-SE. Fonte: DECEA</w:t>
            </w:r>
          </w:p>
          <w:tbl>
            <w:tblPr>
              <w:tblStyle w:val="Table"/>
              <w:tblW w:type="pct" w:w="5000"/>
              <w:tblLayout w:type="fixed"/>
              <w:tblLook w:firstRow="1" w:lastRow="0" w:firstColumn="0" w:lastColumn="0" w:noHBand="0" w:noVBand="0" w:val="0020"/>
            </w:tblPr>
            <w:tblGrid>
              <w:gridCol w:w="546"/>
              <w:gridCol w:w="382"/>
              <w:gridCol w:w="436"/>
              <w:gridCol w:w="1201"/>
              <w:gridCol w:w="2239"/>
              <w:gridCol w:w="1092"/>
              <w:gridCol w:w="2020"/>
            </w:tblGrid>
            <w:tr>
              <w:trPr>
                <w:tblHeader w:val="on"/>
              </w:trPr>
              <w:tc>
                <w:tcPr/>
                <w:p>
                  <w:pPr>
                    <w:pStyle w:val="Compact"/>
                    <w:jc w:val="center"/>
                    <w:jc w:val="center"/>
                  </w:pPr>
                  <w:r>
                    <w:t xml:space="preserve">REGIONAL</w:t>
                  </w:r>
                </w:p>
              </w:tc>
              <w:tc>
                <w:tcPr/>
                <w:p>
                  <w:pPr>
                    <w:pStyle w:val="Compact"/>
                    <w:jc w:val="center"/>
                    <w:jc w:val="center"/>
                  </w:pPr>
                  <w:r>
                    <w:t xml:space="preserve">ÓRGÃO</w:t>
                  </w:r>
                </w:p>
              </w:tc>
              <w:tc>
                <w:tcPr/>
                <w:p>
                  <w:pPr>
                    <w:pStyle w:val="Compact"/>
                    <w:jc w:val="center"/>
                    <w:jc w:val="center"/>
                  </w:pPr>
                  <w:r>
                    <w:t xml:space="preserve">CÓDIGO</w:t>
                  </w:r>
                </w:p>
              </w:tc>
              <w:tc>
                <w:tcPr/>
                <w:p>
                  <w:pPr>
                    <w:pStyle w:val="Compact"/>
                    <w:jc w:val="center"/>
                    <w:jc w:val="center"/>
                  </w:pPr>
                  <w:r>
                    <w:t xml:space="preserve">NOME</w:t>
                  </w:r>
                </w:p>
              </w:tc>
              <w:tc>
                <w:tcPr/>
                <w:p>
                  <w:pPr>
                    <w:pStyle w:val="Compact"/>
                    <w:jc w:val="center"/>
                    <w:jc w:val="center"/>
                  </w:pPr>
                  <w:r>
                    <w:t xml:space="preserve">RESPONSÁVEL/DESTACAMENTO DO ORGÃO</w:t>
                  </w:r>
                </w:p>
              </w:tc>
              <w:tc>
                <w:tcPr/>
                <w:p>
                  <w:pPr>
                    <w:pStyle w:val="Compact"/>
                    <w:jc w:val="center"/>
                    <w:jc w:val="center"/>
                  </w:pPr>
                  <w:r>
                    <w:t xml:space="preserve">OPERADOR DO ÓRGÃO</w:t>
                  </w:r>
                </w:p>
              </w:tc>
              <w:tc>
                <w:tcPr/>
                <w:p>
                  <w:pPr>
                    <w:pStyle w:val="Compact"/>
                    <w:jc w:val="center"/>
                    <w:jc w:val="center"/>
                  </w:pPr>
                  <w:r>
                    <w:t xml:space="preserve">OPERADOR AEROPORTUÁRIO</w:t>
                  </w:r>
                </w:p>
              </w:tc>
            </w:tr>
            <w:tr>
              <w:tc>
                <w:tcPr/>
                <w:p>
                  <w:pPr>
                    <w:pStyle w:val="Compact"/>
                    <w:jc w:val="center"/>
                    <w:jc w:val="center"/>
                  </w:pPr>
                  <w:r>
                    <w:t xml:space="preserve">CRCEA-SE</w:t>
                  </w:r>
                </w:p>
              </w:tc>
              <w:tc>
                <w:tcPr/>
                <w:p>
                  <w:pPr>
                    <w:pStyle w:val="Compact"/>
                    <w:jc w:val="center"/>
                    <w:jc w:val="center"/>
                  </w:pPr>
                  <w:r>
                    <w:t xml:space="preserve">APP</w:t>
                  </w:r>
                </w:p>
              </w:tc>
              <w:tc>
                <w:tcPr/>
                <w:p>
                  <w:pPr>
                    <w:pStyle w:val="Compact"/>
                    <w:jc w:val="center"/>
                    <w:jc w:val="center"/>
                  </w:pPr>
                  <w:r>
                    <w:t xml:space="preserve">CTR ES</w:t>
                  </w:r>
                </w:p>
              </w:tc>
              <w:tc>
                <w:tcPr/>
                <w:p>
                  <w:pPr>
                    <w:pStyle w:val="Compact"/>
                    <w:jc w:val="center"/>
                    <w:jc w:val="center"/>
                  </w:pPr>
                  <w:r>
                    <w:t xml:space="preserve">Aldeia</w:t>
                  </w:r>
                </w:p>
              </w:tc>
              <w:tc>
                <w:tcPr/>
                <w:p>
                  <w:pPr>
                    <w:pStyle w:val="Compact"/>
                    <w:jc w:val="center"/>
                    <w:jc w:val="center"/>
                  </w:pPr>
                  <w:r>
                    <w:t xml:space="preserve">BASE AÉREA NAVAL DE SÃO PEDRO DA ALDEIA</w:t>
                  </w:r>
                </w:p>
              </w:tc>
              <w:tc>
                <w:tcPr/>
                <w:p>
                  <w:pPr>
                    <w:pStyle w:val="Compact"/>
                    <w:jc w:val="center"/>
                    <w:jc w:val="center"/>
                  </w:pPr>
                  <w:r>
                    <w:t xml:space="preserve">MARINHA DO BRASIL</w:t>
                  </w:r>
                </w:p>
              </w:tc>
              <w:tc>
                <w:tcPr/>
                <w:p>
                  <w:pPr>
                    <w:pStyle w:val="Compact"/>
                    <w:jc w:val="center"/>
                    <w:jc w:val="center"/>
                  </w:pPr>
                  <w:r>
                    <w:t xml:space="preserve">MARINHA DO BRASIL</w:t>
                  </w:r>
                </w:p>
              </w:tc>
            </w:tr>
            <w:tr>
              <w:tc>
                <w:tcPr/>
                <w:p>
                  <w:pPr>
                    <w:pStyle w:val="Compact"/>
                    <w:jc w:val="center"/>
                    <w:jc w:val="center"/>
                  </w:pPr>
                  <w:r>
                    <w:t xml:space="preserve">CRCEA-SE</w:t>
                  </w:r>
                </w:p>
              </w:tc>
              <w:tc>
                <w:tcPr/>
                <w:p>
                  <w:pPr>
                    <w:pStyle w:val="Compact"/>
                    <w:jc w:val="center"/>
                    <w:jc w:val="center"/>
                  </w:pPr>
                  <w:r>
                    <w:t xml:space="preserve">APP</w:t>
                  </w:r>
                </w:p>
              </w:tc>
              <w:tc>
                <w:tcPr/>
                <w:p>
                  <w:pPr>
                    <w:pStyle w:val="Compact"/>
                    <w:jc w:val="center"/>
                    <w:jc w:val="center"/>
                  </w:pPr>
                  <w:r>
                    <w:t xml:space="preserve">CTR GW</w:t>
                  </w:r>
                </w:p>
              </w:tc>
              <w:tc>
                <w:tcPr/>
                <w:p>
                  <w:pPr>
                    <w:pStyle w:val="Compact"/>
                    <w:jc w:val="center"/>
                    <w:jc w:val="center"/>
                  </w:pPr>
                  <w:r>
                    <w:t xml:space="preserve">Guará</w:t>
                  </w:r>
                </w:p>
              </w:tc>
              <w:tc>
                <w:tcPr/>
                <w:p>
                  <w:pPr>
                    <w:pStyle w:val="Compact"/>
                    <w:jc w:val="center"/>
                    <w:jc w:val="center"/>
                  </w:pPr>
                  <w:r>
                    <w:t xml:space="preserve">DTCEA-GW</w:t>
                  </w:r>
                </w:p>
              </w:tc>
              <w:tc>
                <w:tcPr/>
                <w:p>
                  <w:pPr>
                    <w:pStyle w:val="Compact"/>
                    <w:jc w:val="center"/>
                    <w:jc w:val="center"/>
                  </w:pPr>
                  <w:r>
                    <w:t xml:space="preserve">DTCEA-GW</w:t>
                  </w:r>
                </w:p>
              </w:tc>
              <w:tc>
                <w:tcPr/>
                <w:p>
                  <w:pPr>
                    <w:pStyle w:val="Compact"/>
                    <w:jc w:val="center"/>
                    <w:jc w:val="center"/>
                  </w:pPr>
                  <w:r>
                    <w:t xml:space="preserve">FAB</w:t>
                  </w:r>
                </w:p>
              </w:tc>
            </w:tr>
            <w:tr>
              <w:tc>
                <w:tcPr/>
                <w:p>
                  <w:pPr>
                    <w:pStyle w:val="Compact"/>
                    <w:jc w:val="center"/>
                    <w:jc w:val="center"/>
                  </w:pPr>
                  <w:r>
                    <w:t xml:space="preserve">CRCEA-SE</w:t>
                  </w:r>
                </w:p>
              </w:tc>
              <w:tc>
                <w:tcPr/>
                <w:p>
                  <w:pPr>
                    <w:pStyle w:val="Compact"/>
                    <w:jc w:val="center"/>
                    <w:jc w:val="center"/>
                  </w:pPr>
                  <w:r>
                    <w:t xml:space="preserve">APP</w:t>
                  </w:r>
                </w:p>
              </w:tc>
              <w:tc>
                <w:tcPr/>
                <w:p>
                  <w:pPr>
                    <w:pStyle w:val="Compact"/>
                    <w:jc w:val="center"/>
                    <w:jc w:val="center"/>
                  </w:pPr>
                  <w:r>
                    <w:t xml:space="preserve">SBXP</w:t>
                  </w:r>
                </w:p>
              </w:tc>
              <w:tc>
                <w:tcPr/>
                <w:p>
                  <w:pPr>
                    <w:pStyle w:val="Compact"/>
                    <w:jc w:val="center"/>
                    <w:jc w:val="center"/>
                  </w:pPr>
                  <w:r>
                    <w:t xml:space="preserve">São Paulo</w:t>
                  </w:r>
                </w:p>
              </w:tc>
              <w:tc>
                <w:tcPr/>
                <w:p>
                  <w:pPr>
                    <w:pStyle w:val="Compact"/>
                    <w:jc w:val="center"/>
                    <w:jc w:val="center"/>
                  </w:pPr>
                  <w:r>
                    <w:t xml:space="preserve">CRCEA-SE</w:t>
                  </w:r>
                </w:p>
              </w:tc>
              <w:tc>
                <w:tcPr/>
                <w:p>
                  <w:pPr>
                    <w:pStyle w:val="Compact"/>
                    <w:jc w:val="center"/>
                    <w:jc w:val="center"/>
                  </w:pPr>
                  <w:r>
                    <w:t xml:space="preserve">CRCEA-SE</w:t>
                  </w:r>
                </w:p>
              </w:tc>
              <w:tc>
                <w:tcPr/>
                <w:p>
                  <w:pPr>
                    <w:pStyle w:val="Compact"/>
                    <w:jc w:val="center"/>
                    <w:jc w:val="center"/>
                  </w:pPr>
                  <w:r>
                    <w:t xml:space="preserve">FAB</w:t>
                  </w:r>
                </w:p>
              </w:tc>
            </w:tr>
            <w:tr>
              <w:tc>
                <w:tcPr/>
                <w:p>
                  <w:pPr>
                    <w:pStyle w:val="Compact"/>
                    <w:jc w:val="center"/>
                    <w:jc w:val="center"/>
                  </w:pPr>
                  <w:r>
                    <w:t xml:space="preserve">CRCEA-SE</w:t>
                  </w:r>
                </w:p>
              </w:tc>
              <w:tc>
                <w:tcPr/>
                <w:p>
                  <w:pPr>
                    <w:pStyle w:val="Compact"/>
                    <w:jc w:val="center"/>
                    <w:jc w:val="center"/>
                  </w:pPr>
                  <w:r>
                    <w:t xml:space="preserve">APP</w:t>
                  </w:r>
                </w:p>
              </w:tc>
              <w:tc>
                <w:tcPr/>
                <w:p>
                  <w:pPr>
                    <w:pStyle w:val="Compact"/>
                    <w:jc w:val="center"/>
                    <w:jc w:val="center"/>
                  </w:pPr>
                  <w:r>
                    <w:t xml:space="preserve">SBWJ</w:t>
                  </w:r>
                </w:p>
              </w:tc>
              <w:tc>
                <w:tcPr/>
                <w:p>
                  <w:pPr>
                    <w:pStyle w:val="Compact"/>
                    <w:jc w:val="center"/>
                    <w:jc w:val="center"/>
                  </w:pPr>
                  <w:r>
                    <w:t xml:space="preserve">Rio de Janeiro</w:t>
                  </w:r>
                </w:p>
              </w:tc>
              <w:tc>
                <w:tcPr/>
                <w:p>
                  <w:pPr>
                    <w:pStyle w:val="Compact"/>
                    <w:jc w:val="center"/>
                    <w:jc w:val="center"/>
                  </w:pPr>
                  <w:r>
                    <w:t xml:space="preserve">DTCEA-GL</w:t>
                  </w:r>
                </w:p>
              </w:tc>
              <w:tc>
                <w:tcPr/>
                <w:p>
                  <w:pPr>
                    <w:pStyle w:val="Compact"/>
                    <w:jc w:val="center"/>
                    <w:jc w:val="center"/>
                  </w:pPr>
                  <w:r>
                    <w:t xml:space="preserve">DTCEA-GL</w:t>
                  </w:r>
                </w:p>
              </w:tc>
              <w:tc>
                <w:tcPr/>
                <w:p>
                  <w:pPr>
                    <w:pStyle w:val="Compact"/>
                    <w:jc w:val="center"/>
                    <w:jc w:val="center"/>
                  </w:pPr>
                  <w:r>
                    <w:t xml:space="preserve">FAB</w:t>
                  </w:r>
                </w:p>
              </w:tc>
            </w:tr>
            <w:tr>
              <w:tc>
                <w:tcPr/>
                <w:p>
                  <w:pPr>
                    <w:pStyle w:val="Compact"/>
                    <w:jc w:val="center"/>
                    <w:jc w:val="center"/>
                  </w:pPr>
                  <w:r>
                    <w:t xml:space="preserve">CRCEA-SE</w:t>
                  </w:r>
                </w:p>
              </w:tc>
              <w:tc>
                <w:tcPr/>
                <w:p>
                  <w:pPr>
                    <w:pStyle w:val="Compact"/>
                    <w:jc w:val="center"/>
                    <w:jc w:val="center"/>
                  </w:pPr>
                  <w:r>
                    <w:t xml:space="preserve">TWR</w:t>
                  </w:r>
                </w:p>
              </w:tc>
              <w:tc>
                <w:tcPr/>
                <w:p>
                  <w:pPr>
                    <w:pStyle w:val="Compact"/>
                    <w:jc w:val="center"/>
                    <w:jc w:val="center"/>
                  </w:pPr>
                  <w:r>
                    <w:t xml:space="preserve">SBES</w:t>
                  </w:r>
                </w:p>
              </w:tc>
              <w:tc>
                <w:tcPr/>
                <w:p>
                  <w:pPr>
                    <w:pStyle w:val="Compact"/>
                    <w:jc w:val="center"/>
                    <w:jc w:val="center"/>
                  </w:pPr>
                  <w:r>
                    <w:t xml:space="preserve">São Pedro da Aldeia</w:t>
                  </w:r>
                </w:p>
              </w:tc>
              <w:tc>
                <w:tcPr/>
                <w:p>
                  <w:pPr>
                    <w:pStyle w:val="Compact"/>
                    <w:jc w:val="center"/>
                    <w:jc w:val="center"/>
                  </w:pPr>
                  <w:r>
                    <w:t xml:space="preserve">MARINHA DO BRASIL</w:t>
                  </w:r>
                </w:p>
              </w:tc>
              <w:tc>
                <w:tcPr/>
                <w:p>
                  <w:pPr>
                    <w:pStyle w:val="Compact"/>
                    <w:jc w:val="center"/>
                    <w:jc w:val="center"/>
                  </w:pPr>
                  <w:r>
                    <w:t xml:space="preserve">MARINHA DO BRASIL</w:t>
                  </w:r>
                </w:p>
              </w:tc>
              <w:tc>
                <w:tcPr/>
                <w:p>
                  <w:pPr>
                    <w:pStyle w:val="Compact"/>
                    <w:jc w:val="center"/>
                    <w:jc w:val="center"/>
                  </w:pPr>
                  <w:r>
                    <w:t xml:space="preserve">MARINHA DO BRASIL</w:t>
                  </w:r>
                </w:p>
              </w:tc>
            </w:tr>
            <w:tr>
              <w:tc>
                <w:tcPr/>
                <w:p>
                  <w:pPr>
                    <w:pStyle w:val="Compact"/>
                    <w:jc w:val="center"/>
                    <w:jc w:val="center"/>
                  </w:pPr>
                  <w:r>
                    <w:t xml:space="preserve">CRCEA-SE</w:t>
                  </w:r>
                </w:p>
              </w:tc>
              <w:tc>
                <w:tcPr/>
                <w:p>
                  <w:pPr>
                    <w:pStyle w:val="Compact"/>
                    <w:jc w:val="center"/>
                    <w:jc w:val="center"/>
                  </w:pPr>
                  <w:r>
                    <w:t xml:space="preserve">TWR</w:t>
                  </w:r>
                </w:p>
              </w:tc>
              <w:tc>
                <w:tcPr/>
                <w:p>
                  <w:pPr>
                    <w:pStyle w:val="Compact"/>
                    <w:jc w:val="center"/>
                    <w:jc w:val="center"/>
                  </w:pPr>
                  <w:r>
                    <w:t xml:space="preserve">SBGL</w:t>
                  </w:r>
                </w:p>
              </w:tc>
              <w:tc>
                <w:tcPr/>
                <w:p>
                  <w:pPr>
                    <w:pStyle w:val="Compact"/>
                    <w:jc w:val="center"/>
                    <w:jc w:val="center"/>
                  </w:pPr>
                  <w:r>
                    <w:t xml:space="preserve">Galeão</w:t>
                  </w:r>
                </w:p>
              </w:tc>
              <w:tc>
                <w:tcPr/>
                <w:p>
                  <w:pPr>
                    <w:pStyle w:val="Compact"/>
                    <w:jc w:val="center"/>
                    <w:jc w:val="center"/>
                  </w:pPr>
                  <w:r>
                    <w:t xml:space="preserve">DTCEA-GL</w:t>
                  </w:r>
                </w:p>
              </w:tc>
              <w:tc>
                <w:tcPr/>
                <w:p>
                  <w:pPr>
                    <w:pStyle w:val="Compact"/>
                    <w:jc w:val="center"/>
                    <w:jc w:val="center"/>
                  </w:pPr>
                  <w:r>
                    <w:t xml:space="preserve">DTCEA-GL</w:t>
                  </w:r>
                </w:p>
              </w:tc>
              <w:tc>
                <w:tcPr/>
                <w:p>
                  <w:pPr>
                    <w:pStyle w:val="Compact"/>
                    <w:jc w:val="center"/>
                    <w:jc w:val="center"/>
                  </w:pPr>
                  <w:r>
                    <w:t xml:space="preserve">RIOgaleão</w:t>
                  </w:r>
                </w:p>
              </w:tc>
            </w:tr>
            <w:tr>
              <w:tc>
                <w:tcPr/>
                <w:p>
                  <w:pPr>
                    <w:pStyle w:val="Compact"/>
                    <w:jc w:val="center"/>
                    <w:jc w:val="center"/>
                  </w:pPr>
                  <w:r>
                    <w:t xml:space="preserve">CRCEA-SE</w:t>
                  </w:r>
                </w:p>
              </w:tc>
              <w:tc>
                <w:tcPr/>
                <w:p>
                  <w:pPr>
                    <w:pStyle w:val="Compact"/>
                    <w:jc w:val="center"/>
                    <w:jc w:val="center"/>
                  </w:pPr>
                  <w:r>
                    <w:t xml:space="preserve">TWR</w:t>
                  </w:r>
                </w:p>
              </w:tc>
              <w:tc>
                <w:tcPr/>
                <w:p>
                  <w:pPr>
                    <w:pStyle w:val="Compact"/>
                    <w:jc w:val="center"/>
                    <w:jc w:val="center"/>
                  </w:pPr>
                  <w:r>
                    <w:t xml:space="preserve">SBGR</w:t>
                  </w:r>
                </w:p>
              </w:tc>
              <w:tc>
                <w:tcPr/>
                <w:p>
                  <w:pPr>
                    <w:pStyle w:val="Compact"/>
                    <w:jc w:val="center"/>
                    <w:jc w:val="center"/>
                  </w:pPr>
                  <w:r>
                    <w:t xml:space="preserve">Guarulhos</w:t>
                  </w:r>
                </w:p>
              </w:tc>
              <w:tc>
                <w:tcPr/>
                <w:p>
                  <w:pPr>
                    <w:pStyle w:val="Compact"/>
                    <w:jc w:val="center"/>
                    <w:jc w:val="center"/>
                  </w:pPr>
                  <w:r>
                    <w:t xml:space="preserve">NAV BRASIL</w:t>
                  </w:r>
                </w:p>
              </w:tc>
              <w:tc>
                <w:tcPr/>
                <w:p>
                  <w:pPr>
                    <w:pStyle w:val="Compact"/>
                    <w:jc w:val="center"/>
                    <w:jc w:val="center"/>
                  </w:pPr>
                  <w:r>
                    <w:t xml:space="preserve">NAV BRASIL</w:t>
                  </w:r>
                </w:p>
              </w:tc>
              <w:tc>
                <w:tcPr/>
                <w:p>
                  <w:pPr>
                    <w:pStyle w:val="Compact"/>
                    <w:jc w:val="center"/>
                    <w:jc w:val="center"/>
                  </w:pPr>
                  <w:r>
                    <w:t xml:space="preserve">GRU Airport</w:t>
                  </w:r>
                </w:p>
              </w:tc>
            </w:tr>
            <w:tr>
              <w:tc>
                <w:tcPr/>
                <w:p>
                  <w:pPr>
                    <w:pStyle w:val="Compact"/>
                    <w:jc w:val="center"/>
                    <w:jc w:val="center"/>
                  </w:pPr>
                  <w:r>
                    <w:t xml:space="preserve">CRCEA-SE</w:t>
                  </w:r>
                </w:p>
              </w:tc>
              <w:tc>
                <w:tcPr/>
                <w:p>
                  <w:pPr>
                    <w:pStyle w:val="Compact"/>
                    <w:jc w:val="center"/>
                    <w:jc w:val="center"/>
                  </w:pPr>
                  <w:r>
                    <w:t xml:space="preserve">TWR</w:t>
                  </w:r>
                </w:p>
              </w:tc>
              <w:tc>
                <w:tcPr/>
                <w:p>
                  <w:pPr>
                    <w:pStyle w:val="Compact"/>
                    <w:jc w:val="center"/>
                    <w:jc w:val="center"/>
                  </w:pPr>
                  <w:r>
                    <w:t xml:space="preserve">SBJD</w:t>
                  </w:r>
                </w:p>
              </w:tc>
              <w:tc>
                <w:tcPr/>
                <w:p>
                  <w:pPr>
                    <w:pStyle w:val="Compact"/>
                    <w:jc w:val="center"/>
                    <w:jc w:val="center"/>
                  </w:pPr>
                  <w:r>
                    <w:t xml:space="preserve">Jundiaí</w:t>
                  </w:r>
                </w:p>
              </w:tc>
              <w:tc>
                <w:tcPr/>
                <w:p>
                  <w:pPr>
                    <w:pStyle w:val="Compact"/>
                    <w:jc w:val="center"/>
                    <w:jc w:val="center"/>
                  </w:pPr>
                  <w:r>
                    <w:t xml:space="preserve">VOA-SP</w:t>
                  </w:r>
                </w:p>
              </w:tc>
              <w:tc>
                <w:tcPr/>
                <w:p>
                  <w:pPr>
                    <w:pStyle w:val="Compact"/>
                    <w:jc w:val="center"/>
                    <w:jc w:val="center"/>
                  </w:pPr>
                  <w:r>
                    <w:t xml:space="preserve">PAIM</w:t>
                  </w:r>
                </w:p>
              </w:tc>
              <w:tc>
                <w:tcPr/>
                <w:p>
                  <w:pPr>
                    <w:pStyle w:val="Compact"/>
                    <w:jc w:val="center"/>
                    <w:jc w:val="center"/>
                  </w:pPr>
                  <w:r>
                    <w:t xml:space="preserve">REDE VOA</w:t>
                  </w:r>
                </w:p>
              </w:tc>
            </w:tr>
            <w:tr>
              <w:tc>
                <w:tcPr/>
                <w:p>
                  <w:pPr>
                    <w:pStyle w:val="Compact"/>
                    <w:jc w:val="center"/>
                    <w:jc w:val="center"/>
                  </w:pPr>
                  <w:r>
                    <w:t xml:space="preserve">CRCEA-SE</w:t>
                  </w:r>
                </w:p>
              </w:tc>
              <w:tc>
                <w:tcPr/>
                <w:p>
                  <w:pPr>
                    <w:pStyle w:val="Compact"/>
                    <w:jc w:val="center"/>
                    <w:jc w:val="center"/>
                  </w:pPr>
                  <w:r>
                    <w:t xml:space="preserve">TWR</w:t>
                  </w:r>
                </w:p>
              </w:tc>
              <w:tc>
                <w:tcPr/>
                <w:p>
                  <w:pPr>
                    <w:pStyle w:val="Compact"/>
                    <w:jc w:val="center"/>
                    <w:jc w:val="center"/>
                  </w:pPr>
                  <w:r>
                    <w:t xml:space="preserve">SBKP</w:t>
                  </w:r>
                </w:p>
              </w:tc>
              <w:tc>
                <w:tcPr/>
                <w:p>
                  <w:pPr>
                    <w:pStyle w:val="Compact"/>
                    <w:jc w:val="center"/>
                    <w:jc w:val="center"/>
                  </w:pPr>
                  <w:r>
                    <w:t xml:space="preserve">Campinas</w:t>
                  </w:r>
                </w:p>
              </w:tc>
              <w:tc>
                <w:tcPr/>
                <w:p>
                  <w:pPr>
                    <w:pStyle w:val="Compact"/>
                    <w:jc w:val="center"/>
                    <w:jc w:val="center"/>
                  </w:pPr>
                  <w:r>
                    <w:t xml:space="preserve">NAV BRASIL</w:t>
                  </w:r>
                </w:p>
              </w:tc>
              <w:tc>
                <w:tcPr/>
                <w:p>
                  <w:pPr>
                    <w:pStyle w:val="Compact"/>
                    <w:jc w:val="center"/>
                    <w:jc w:val="center"/>
                  </w:pPr>
                  <w:r>
                    <w:t xml:space="preserve">NAV BRASIL</w:t>
                  </w:r>
                </w:p>
              </w:tc>
              <w:tc>
                <w:tcPr/>
                <w:p>
                  <w:pPr>
                    <w:pStyle w:val="Compact"/>
                    <w:jc w:val="center"/>
                    <w:jc w:val="center"/>
                  </w:pPr>
                  <w:r>
                    <w:t xml:space="preserve">Aeroportos Brasil Viracopos</w:t>
                  </w:r>
                </w:p>
              </w:tc>
            </w:tr>
            <w:tr>
              <w:tc>
                <w:tcPr/>
                <w:p>
                  <w:pPr>
                    <w:pStyle w:val="Compact"/>
                    <w:jc w:val="center"/>
                    <w:jc w:val="center"/>
                  </w:pPr>
                  <w:r>
                    <w:t xml:space="preserve">CRCEA-SE</w:t>
                  </w:r>
                </w:p>
              </w:tc>
              <w:tc>
                <w:tcPr/>
                <w:p>
                  <w:pPr>
                    <w:pStyle w:val="Compact"/>
                    <w:jc w:val="center"/>
                    <w:jc w:val="center"/>
                  </w:pPr>
                  <w:r>
                    <w:t xml:space="preserve">TWR</w:t>
                  </w:r>
                </w:p>
              </w:tc>
              <w:tc>
                <w:tcPr/>
                <w:p>
                  <w:pPr>
                    <w:pStyle w:val="Compact"/>
                    <w:jc w:val="center"/>
                    <w:jc w:val="center"/>
                  </w:pPr>
                  <w:r>
                    <w:t xml:space="preserve">SBMT</w:t>
                  </w:r>
                </w:p>
              </w:tc>
              <w:tc>
                <w:tcPr/>
                <w:p>
                  <w:pPr>
                    <w:pStyle w:val="Compact"/>
                    <w:jc w:val="center"/>
                    <w:jc w:val="center"/>
                  </w:pPr>
                  <w:r>
                    <w:t xml:space="preserve">Campo de Marte</w:t>
                  </w:r>
                </w:p>
              </w:tc>
              <w:tc>
                <w:tcPr/>
                <w:p>
                  <w:pPr>
                    <w:pStyle w:val="Compact"/>
                    <w:jc w:val="center"/>
                    <w:jc w:val="center"/>
                  </w:pPr>
                  <w:r>
                    <w:t xml:space="preserve">DTCEA-MT</w:t>
                  </w:r>
                </w:p>
              </w:tc>
              <w:tc>
                <w:tcPr/>
                <w:p>
                  <w:pPr>
                    <w:pStyle w:val="Compact"/>
                    <w:jc w:val="center"/>
                    <w:jc w:val="center"/>
                  </w:pPr>
                  <w:r>
                    <w:t xml:space="preserve">DTCEA-MT</w:t>
                  </w:r>
                </w:p>
              </w:tc>
              <w:tc>
                <w:tcPr/>
                <w:p>
                  <w:pPr>
                    <w:pStyle w:val="Compact"/>
                    <w:jc w:val="center"/>
                    <w:jc w:val="center"/>
                  </w:pPr>
                  <w:r>
                    <w:t xml:space="preserve">PAX Aeroportos</w:t>
                  </w:r>
                </w:p>
              </w:tc>
            </w:tr>
            <w:tr>
              <w:tc>
                <w:tcPr/>
                <w:p>
                  <w:pPr>
                    <w:pStyle w:val="Compact"/>
                    <w:jc w:val="center"/>
                    <w:jc w:val="center"/>
                  </w:pPr>
                  <w:r>
                    <w:t xml:space="preserve">CRCEA-SE</w:t>
                  </w:r>
                </w:p>
              </w:tc>
              <w:tc>
                <w:tcPr/>
                <w:p>
                  <w:pPr>
                    <w:pStyle w:val="Compact"/>
                    <w:jc w:val="center"/>
                    <w:jc w:val="center"/>
                  </w:pPr>
                  <w:r>
                    <w:t xml:space="preserve">TWR</w:t>
                  </w:r>
                </w:p>
              </w:tc>
              <w:tc>
                <w:tcPr/>
                <w:p>
                  <w:pPr>
                    <w:pStyle w:val="Compact"/>
                    <w:jc w:val="center"/>
                    <w:jc w:val="center"/>
                  </w:pPr>
                  <w:r>
                    <w:t xml:space="preserve">SBRJ</w:t>
                  </w:r>
                </w:p>
              </w:tc>
              <w:tc>
                <w:tcPr/>
                <w:p>
                  <w:pPr>
                    <w:pStyle w:val="Compact"/>
                    <w:jc w:val="center"/>
                    <w:jc w:val="center"/>
                  </w:pPr>
                  <w:r>
                    <w:t xml:space="preserve">Santos Dumont</w:t>
                  </w:r>
                </w:p>
              </w:tc>
              <w:tc>
                <w:tcPr/>
                <w:p>
                  <w:pPr>
                    <w:pStyle w:val="Compact"/>
                    <w:jc w:val="center"/>
                    <w:jc w:val="center"/>
                  </w:pPr>
                  <w:r>
                    <w:t xml:space="preserve">NAV BRASIL</w:t>
                  </w:r>
                </w:p>
              </w:tc>
              <w:tc>
                <w:tcPr/>
                <w:p>
                  <w:pPr>
                    <w:pStyle w:val="Compact"/>
                    <w:jc w:val="center"/>
                    <w:jc w:val="center"/>
                  </w:pPr>
                  <w:r>
                    <w:t xml:space="preserve">NAV BRASIL</w:t>
                  </w:r>
                </w:p>
              </w:tc>
              <w:tc>
                <w:tcPr/>
                <w:p>
                  <w:pPr>
                    <w:pStyle w:val="Compact"/>
                    <w:jc w:val="center"/>
                    <w:jc w:val="center"/>
                  </w:pPr>
                  <w:r>
                    <w:t xml:space="preserve">INFRAERO</w:t>
                  </w:r>
                </w:p>
              </w:tc>
            </w:tr>
            <w:tr>
              <w:tc>
                <w:tcPr/>
                <w:p>
                  <w:pPr>
                    <w:pStyle w:val="Compact"/>
                    <w:jc w:val="center"/>
                    <w:jc w:val="center"/>
                  </w:pPr>
                  <w:r>
                    <w:t xml:space="preserve">CRCEA-SE</w:t>
                  </w:r>
                </w:p>
              </w:tc>
              <w:tc>
                <w:tcPr/>
                <w:p>
                  <w:pPr>
                    <w:pStyle w:val="Compact"/>
                    <w:jc w:val="center"/>
                    <w:jc w:val="center"/>
                  </w:pPr>
                  <w:r>
                    <w:t xml:space="preserve">TWR</w:t>
                  </w:r>
                </w:p>
              </w:tc>
              <w:tc>
                <w:tcPr/>
                <w:p>
                  <w:pPr>
                    <w:pStyle w:val="Compact"/>
                    <w:jc w:val="center"/>
                    <w:jc w:val="center"/>
                  </w:pPr>
                  <w:r>
                    <w:t xml:space="preserve">SBSJ</w:t>
                  </w:r>
                </w:p>
              </w:tc>
              <w:tc>
                <w:tcPr/>
                <w:p>
                  <w:pPr>
                    <w:pStyle w:val="Compact"/>
                    <w:jc w:val="center"/>
                    <w:jc w:val="center"/>
                  </w:pPr>
                  <w:r>
                    <w:t xml:space="preserve">São José dos Campos</w:t>
                  </w:r>
                </w:p>
              </w:tc>
              <w:tc>
                <w:tcPr/>
                <w:p>
                  <w:pPr>
                    <w:pStyle w:val="Compact"/>
                    <w:jc w:val="center"/>
                    <w:jc w:val="center"/>
                  </w:pPr>
                  <w:r>
                    <w:t xml:space="preserve">DTCEA-SJ</w:t>
                  </w:r>
                </w:p>
              </w:tc>
              <w:tc>
                <w:tcPr/>
                <w:p>
                  <w:pPr>
                    <w:pStyle w:val="Compact"/>
                    <w:jc w:val="center"/>
                    <w:jc w:val="center"/>
                  </w:pPr>
                  <w:r>
                    <w:t xml:space="preserve">DTCEA-SJ</w:t>
                  </w:r>
                </w:p>
              </w:tc>
              <w:tc>
                <w:tcPr/>
                <w:p>
                  <w:pPr>
                    <w:pStyle w:val="Compact"/>
                    <w:jc w:val="center"/>
                    <w:jc w:val="center"/>
                  </w:pPr>
                  <w:r>
                    <w:t xml:space="preserve">SJKAIRPORT</w:t>
                  </w:r>
                </w:p>
              </w:tc>
            </w:tr>
            <w:tr>
              <w:tc>
                <w:tcPr/>
                <w:p>
                  <w:pPr>
                    <w:pStyle w:val="Compact"/>
                    <w:jc w:val="center"/>
                    <w:jc w:val="center"/>
                  </w:pPr>
                  <w:r>
                    <w:t xml:space="preserve">CRCEA-SE</w:t>
                  </w:r>
                </w:p>
              </w:tc>
              <w:tc>
                <w:tcPr/>
                <w:p>
                  <w:pPr>
                    <w:pStyle w:val="Compact"/>
                    <w:jc w:val="center"/>
                    <w:jc w:val="center"/>
                  </w:pPr>
                  <w:r>
                    <w:t xml:space="preserve">TWR</w:t>
                  </w:r>
                </w:p>
              </w:tc>
              <w:tc>
                <w:tcPr/>
                <w:p>
                  <w:pPr>
                    <w:pStyle w:val="Compact"/>
                    <w:jc w:val="center"/>
                    <w:jc w:val="center"/>
                  </w:pPr>
                  <w:r>
                    <w:t xml:space="preserve">SBSP</w:t>
                  </w:r>
                </w:p>
              </w:tc>
              <w:tc>
                <w:tcPr/>
                <w:p>
                  <w:pPr>
                    <w:pStyle w:val="Compact"/>
                    <w:jc w:val="center"/>
                    <w:jc w:val="center"/>
                  </w:pPr>
                  <w:r>
                    <w:t xml:space="preserve">Congonhas</w:t>
                  </w:r>
                </w:p>
              </w:tc>
              <w:tc>
                <w:tcPr/>
                <w:p>
                  <w:pPr>
                    <w:pStyle w:val="Compact"/>
                    <w:jc w:val="center"/>
                    <w:jc w:val="center"/>
                  </w:pPr>
                  <w:r>
                    <w:t xml:space="preserve">CRCEA-SE</w:t>
                  </w:r>
                </w:p>
              </w:tc>
              <w:tc>
                <w:tcPr/>
                <w:p>
                  <w:pPr>
                    <w:pStyle w:val="Compact"/>
                    <w:jc w:val="center"/>
                    <w:jc w:val="center"/>
                  </w:pPr>
                  <w:r>
                    <w:t xml:space="preserve">CRCEA-SE</w:t>
                  </w:r>
                </w:p>
              </w:tc>
              <w:tc>
                <w:tcPr/>
                <w:p>
                  <w:pPr>
                    <w:pStyle w:val="Compact"/>
                    <w:jc w:val="center"/>
                    <w:jc w:val="center"/>
                  </w:pPr>
                  <w:r>
                    <w:t xml:space="preserve">AENA BRASIL</w:t>
                  </w:r>
                </w:p>
              </w:tc>
            </w:tr>
            <w:tr>
              <w:tc>
                <w:tcPr/>
                <w:p>
                  <w:pPr>
                    <w:pStyle w:val="Compact"/>
                    <w:jc w:val="center"/>
                    <w:jc w:val="center"/>
                  </w:pPr>
                  <w:r>
                    <w:t xml:space="preserve">CRCEA-SE</w:t>
                  </w:r>
                </w:p>
              </w:tc>
              <w:tc>
                <w:tcPr/>
                <w:p>
                  <w:pPr>
                    <w:pStyle w:val="Compact"/>
                    <w:jc w:val="center"/>
                    <w:jc w:val="center"/>
                  </w:pPr>
                  <w:r>
                    <w:t xml:space="preserve">TWR</w:t>
                  </w:r>
                </w:p>
              </w:tc>
              <w:tc>
                <w:tcPr/>
                <w:p>
                  <w:pPr>
                    <w:pStyle w:val="Compact"/>
                    <w:jc w:val="center"/>
                    <w:jc w:val="center"/>
                  </w:pPr>
                  <w:r>
                    <w:t xml:space="preserve">SBTA</w:t>
                  </w:r>
                </w:p>
              </w:tc>
              <w:tc>
                <w:tcPr/>
                <w:p>
                  <w:pPr>
                    <w:pStyle w:val="Compact"/>
                    <w:jc w:val="center"/>
                    <w:jc w:val="center"/>
                  </w:pPr>
                  <w:r>
                    <w:t xml:space="preserve">Taubaté</w:t>
                  </w:r>
                </w:p>
              </w:tc>
              <w:tc>
                <w:tcPr/>
                <w:p>
                  <w:pPr>
                    <w:pStyle w:val="Compact"/>
                    <w:jc w:val="center"/>
                    <w:jc w:val="center"/>
                  </w:pPr>
                  <w:r>
                    <w:t xml:space="preserve">EXÉRCITO</w:t>
                  </w:r>
                </w:p>
              </w:tc>
              <w:tc>
                <w:tcPr/>
                <w:p>
                  <w:pPr>
                    <w:pStyle w:val="Compact"/>
                  </w:pPr>
                </w:p>
              </w:tc>
              <w:tc>
                <w:tcPr/>
                <w:p>
                  <w:pPr>
                    <w:pStyle w:val="Compact"/>
                  </w:pPr>
                </w:p>
              </w:tc>
            </w:tr>
            <w:tr>
              <w:tc>
                <w:tcPr/>
                <w:p>
                  <w:pPr>
                    <w:pStyle w:val="Compact"/>
                    <w:jc w:val="center"/>
                    <w:jc w:val="center"/>
                  </w:pPr>
                  <w:r>
                    <w:t xml:space="preserve">BRASILEIRO</w:t>
                  </w:r>
                </w:p>
              </w:tc>
              <w:tc>
                <w:tcPr/>
                <w:p>
                  <w:pPr>
                    <w:pStyle w:val="Compact"/>
                    <w:jc w:val="center"/>
                    <w:jc w:val="center"/>
                  </w:pPr>
                  <w:r>
                    <w:t xml:space="preserve">EXÉRCITO</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center"/>
                    <w:jc w:val="center"/>
                  </w:pPr>
                  <w:r>
                    <w:t xml:space="preserve">BRASILEIRO</w:t>
                  </w:r>
                </w:p>
              </w:tc>
              <w:tc>
                <w:tcPr/>
                <w:p>
                  <w:pPr>
                    <w:pStyle w:val="Compact"/>
                    <w:jc w:val="center"/>
                    <w:jc w:val="center"/>
                  </w:pPr>
                  <w:r>
                    <w:t xml:space="preserve">EXÉRCITO</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center"/>
                    <w:jc w:val="center"/>
                  </w:pPr>
                  <w:r>
                    <w:t xml:space="preserve">BRASILEIRO</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center"/>
                    <w:jc w:val="center"/>
                  </w:pPr>
                  <w:r>
                    <w:t xml:space="preserve">CRCEA-SE</w:t>
                  </w:r>
                </w:p>
              </w:tc>
              <w:tc>
                <w:tcPr/>
                <w:p>
                  <w:pPr>
                    <w:pStyle w:val="Compact"/>
                    <w:jc w:val="center"/>
                    <w:jc w:val="center"/>
                  </w:pPr>
                  <w:r>
                    <w:t xml:space="preserve">TWR</w:t>
                  </w:r>
                </w:p>
              </w:tc>
              <w:tc>
                <w:tcPr/>
                <w:p>
                  <w:pPr>
                    <w:pStyle w:val="Compact"/>
                    <w:jc w:val="center"/>
                    <w:jc w:val="center"/>
                  </w:pPr>
                  <w:r>
                    <w:t xml:space="preserve">SBGW</w:t>
                  </w:r>
                </w:p>
              </w:tc>
              <w:tc>
                <w:tcPr/>
                <w:p>
                  <w:pPr>
                    <w:pStyle w:val="Compact"/>
                    <w:jc w:val="center"/>
                    <w:jc w:val="center"/>
                  </w:pPr>
                  <w:r>
                    <w:t xml:space="preserve">Guaratinguetá</w:t>
                  </w:r>
                </w:p>
              </w:tc>
              <w:tc>
                <w:tcPr/>
                <w:p>
                  <w:pPr>
                    <w:pStyle w:val="Compact"/>
                    <w:jc w:val="center"/>
                    <w:jc w:val="center"/>
                  </w:pPr>
                  <w:r>
                    <w:t xml:space="preserve">DTCEA-GW</w:t>
                  </w:r>
                </w:p>
              </w:tc>
              <w:tc>
                <w:tcPr/>
                <w:p>
                  <w:pPr>
                    <w:pStyle w:val="Compact"/>
                    <w:jc w:val="center"/>
                    <w:jc w:val="center"/>
                  </w:pPr>
                  <w:r>
                    <w:t xml:space="preserve">DTCEA-GW</w:t>
                  </w:r>
                </w:p>
              </w:tc>
              <w:tc>
                <w:tcPr/>
                <w:p>
                  <w:pPr>
                    <w:pStyle w:val="Compact"/>
                    <w:jc w:val="center"/>
                    <w:jc w:val="center"/>
                  </w:pPr>
                  <w:r>
                    <w:t xml:space="preserve">FAB</w:t>
                  </w:r>
                </w:p>
              </w:tc>
            </w:tr>
            <w:tr>
              <w:tc>
                <w:tcPr/>
                <w:p>
                  <w:pPr>
                    <w:pStyle w:val="Compact"/>
                    <w:jc w:val="center"/>
                    <w:jc w:val="center"/>
                  </w:pPr>
                  <w:r>
                    <w:t xml:space="preserve">CRCEA-SE</w:t>
                  </w:r>
                </w:p>
              </w:tc>
              <w:tc>
                <w:tcPr/>
                <w:p>
                  <w:pPr>
                    <w:pStyle w:val="Compact"/>
                    <w:jc w:val="center"/>
                    <w:jc w:val="center"/>
                  </w:pPr>
                  <w:r>
                    <w:t xml:space="preserve">TWR</w:t>
                  </w:r>
                </w:p>
              </w:tc>
              <w:tc>
                <w:tcPr/>
                <w:p>
                  <w:pPr>
                    <w:pStyle w:val="Compact"/>
                    <w:jc w:val="center"/>
                    <w:jc w:val="center"/>
                  </w:pPr>
                  <w:r>
                    <w:t xml:space="preserve">SDCO</w:t>
                  </w:r>
                </w:p>
              </w:tc>
              <w:tc>
                <w:tcPr/>
                <w:p>
                  <w:pPr>
                    <w:pStyle w:val="Compact"/>
                    <w:jc w:val="center"/>
                    <w:jc w:val="center"/>
                  </w:pPr>
                  <w:r>
                    <w:t xml:space="preserve">Sorocaba</w:t>
                  </w:r>
                </w:p>
              </w:tc>
              <w:tc>
                <w:tcPr/>
                <w:p>
                  <w:pPr>
                    <w:pStyle w:val="Compact"/>
                    <w:jc w:val="center"/>
                    <w:jc w:val="center"/>
                  </w:pPr>
                  <w:r>
                    <w:t xml:space="preserve">VOA-SP</w:t>
                  </w:r>
                </w:p>
              </w:tc>
              <w:tc>
                <w:tcPr/>
                <w:p>
                  <w:pPr>
                    <w:pStyle w:val="Compact"/>
                    <w:jc w:val="center"/>
                    <w:jc w:val="center"/>
                  </w:pPr>
                  <w:r>
                    <w:t xml:space="preserve">AMD</w:t>
                  </w:r>
                </w:p>
              </w:tc>
              <w:tc>
                <w:tcPr/>
                <w:p>
                  <w:pPr>
                    <w:pStyle w:val="Compact"/>
                    <w:jc w:val="center"/>
                    <w:jc w:val="center"/>
                  </w:pPr>
                  <w:r>
                    <w:t xml:space="preserve">REDE VOA</w:t>
                  </w:r>
                </w:p>
              </w:tc>
            </w:tr>
            <w:tr>
              <w:tc>
                <w:tcPr/>
                <w:p>
                  <w:pPr>
                    <w:pStyle w:val="Compact"/>
                    <w:jc w:val="center"/>
                    <w:jc w:val="center"/>
                  </w:pPr>
                  <w:r>
                    <w:t xml:space="preserve">CRCEA-SE</w:t>
                  </w:r>
                </w:p>
              </w:tc>
              <w:tc>
                <w:tcPr/>
                <w:p>
                  <w:pPr>
                    <w:pStyle w:val="Compact"/>
                    <w:jc w:val="center"/>
                    <w:jc w:val="center"/>
                  </w:pPr>
                  <w:r>
                    <w:t xml:space="preserve">TWR</w:t>
                  </w:r>
                </w:p>
              </w:tc>
              <w:tc>
                <w:tcPr/>
                <w:p>
                  <w:pPr>
                    <w:pStyle w:val="Compact"/>
                    <w:jc w:val="center"/>
                    <w:jc w:val="center"/>
                  </w:pPr>
                  <w:r>
                    <w:t xml:space="preserve">SBJR</w:t>
                  </w:r>
                </w:p>
              </w:tc>
              <w:tc>
                <w:tcPr/>
                <w:p>
                  <w:pPr>
                    <w:pStyle w:val="Compact"/>
                    <w:jc w:val="center"/>
                    <w:jc w:val="center"/>
                  </w:pPr>
                  <w:r>
                    <w:t xml:space="preserve">Jacarepaguá</w:t>
                  </w:r>
                </w:p>
              </w:tc>
              <w:tc>
                <w:tcPr/>
                <w:p>
                  <w:pPr>
                    <w:pStyle w:val="Compact"/>
                    <w:jc w:val="center"/>
                    <w:jc w:val="center"/>
                  </w:pPr>
                  <w:r>
                    <w:t xml:space="preserve">NAV BRASIL</w:t>
                  </w:r>
                </w:p>
              </w:tc>
              <w:tc>
                <w:tcPr/>
                <w:p>
                  <w:pPr>
                    <w:pStyle w:val="Compact"/>
                    <w:jc w:val="center"/>
                    <w:jc w:val="center"/>
                  </w:pPr>
                  <w:r>
                    <w:t xml:space="preserve">NAV BRASIL</w:t>
                  </w:r>
                </w:p>
              </w:tc>
              <w:tc>
                <w:tcPr/>
                <w:p>
                  <w:pPr>
                    <w:pStyle w:val="Compact"/>
                    <w:jc w:val="center"/>
                    <w:jc w:val="center"/>
                  </w:pPr>
                  <w:r>
                    <w:t xml:space="preserve">PAX Aeroportos</w:t>
                  </w:r>
                </w:p>
              </w:tc>
            </w:tr>
            <w:tr>
              <w:tc>
                <w:tcPr/>
                <w:p>
                  <w:pPr>
                    <w:pStyle w:val="Compact"/>
                    <w:jc w:val="center"/>
                    <w:jc w:val="center"/>
                  </w:pPr>
                  <w:r>
                    <w:t xml:space="preserve">CRCEA-SE</w:t>
                  </w:r>
                </w:p>
              </w:tc>
              <w:tc>
                <w:tcPr/>
                <w:p>
                  <w:pPr>
                    <w:pStyle w:val="Compact"/>
                    <w:jc w:val="center"/>
                    <w:jc w:val="center"/>
                  </w:pPr>
                  <w:r>
                    <w:t xml:space="preserve">AFIS</w:t>
                  </w:r>
                </w:p>
              </w:tc>
              <w:tc>
                <w:tcPr/>
                <w:p>
                  <w:pPr>
                    <w:pStyle w:val="Compact"/>
                    <w:jc w:val="center"/>
                    <w:jc w:val="center"/>
                  </w:pPr>
                  <w:r>
                    <w:t xml:space="preserve">SBAF</w:t>
                  </w:r>
                </w:p>
              </w:tc>
              <w:tc>
                <w:tcPr/>
                <w:p>
                  <w:pPr>
                    <w:pStyle w:val="Compact"/>
                    <w:jc w:val="center"/>
                    <w:jc w:val="center"/>
                  </w:pPr>
                  <w:r>
                    <w:t xml:space="preserve">Afonsos</w:t>
                  </w:r>
                </w:p>
              </w:tc>
              <w:tc>
                <w:tcPr/>
                <w:p>
                  <w:pPr>
                    <w:pStyle w:val="Compact"/>
                    <w:jc w:val="center"/>
                    <w:jc w:val="center"/>
                  </w:pPr>
                  <w:r>
                    <w:t xml:space="preserve">DTCEA-AF</w:t>
                  </w:r>
                </w:p>
              </w:tc>
              <w:tc>
                <w:tcPr/>
                <w:p>
                  <w:pPr>
                    <w:pStyle w:val="Compact"/>
                    <w:jc w:val="center"/>
                    <w:jc w:val="center"/>
                  </w:pPr>
                  <w:r>
                    <w:t xml:space="preserve">DTCEA-AF</w:t>
                  </w:r>
                </w:p>
              </w:tc>
              <w:tc>
                <w:tcPr/>
                <w:p>
                  <w:pPr>
                    <w:pStyle w:val="Compact"/>
                    <w:jc w:val="center"/>
                    <w:jc w:val="center"/>
                  </w:pPr>
                  <w:r>
                    <w:t xml:space="preserve">FAB</w:t>
                  </w:r>
                </w:p>
              </w:tc>
            </w:tr>
            <w:tr>
              <w:tc>
                <w:tcPr/>
                <w:p>
                  <w:pPr>
                    <w:pStyle w:val="Compact"/>
                    <w:jc w:val="center"/>
                    <w:jc w:val="center"/>
                  </w:pPr>
                  <w:r>
                    <w:t xml:space="preserve">CRCEA-SE</w:t>
                  </w:r>
                </w:p>
              </w:tc>
              <w:tc>
                <w:tcPr/>
                <w:p>
                  <w:pPr>
                    <w:pStyle w:val="Compact"/>
                    <w:jc w:val="center"/>
                    <w:jc w:val="center"/>
                  </w:pPr>
                  <w:r>
                    <w:t xml:space="preserve">AFIS</w:t>
                  </w:r>
                </w:p>
              </w:tc>
              <w:tc>
                <w:tcPr/>
                <w:p>
                  <w:pPr>
                    <w:pStyle w:val="Compact"/>
                    <w:jc w:val="center"/>
                    <w:jc w:val="center"/>
                  </w:pPr>
                  <w:r>
                    <w:t xml:space="preserve">SBBP</w:t>
                  </w:r>
                </w:p>
              </w:tc>
              <w:tc>
                <w:tcPr/>
                <w:p>
                  <w:pPr>
                    <w:pStyle w:val="Compact"/>
                    <w:jc w:val="center"/>
                    <w:jc w:val="center"/>
                  </w:pPr>
                  <w:r>
                    <w:t xml:space="preserve">Bragança Paulista</w:t>
                  </w:r>
                </w:p>
              </w:tc>
              <w:tc>
                <w:tcPr/>
                <w:p>
                  <w:pPr>
                    <w:pStyle w:val="Compact"/>
                    <w:jc w:val="center"/>
                    <w:jc w:val="center"/>
                  </w:pPr>
                  <w:r>
                    <w:t xml:space="preserve">VOA-SP</w:t>
                  </w:r>
                </w:p>
              </w:tc>
              <w:tc>
                <w:tcPr/>
                <w:p>
                  <w:pPr>
                    <w:pStyle w:val="Compact"/>
                    <w:jc w:val="center"/>
                    <w:jc w:val="center"/>
                  </w:pPr>
                  <w:r>
                    <w:t xml:space="preserve">PAIM</w:t>
                  </w:r>
                </w:p>
              </w:tc>
              <w:tc>
                <w:tcPr/>
                <w:p>
                  <w:pPr>
                    <w:pStyle w:val="Compact"/>
                    <w:jc w:val="center"/>
                    <w:jc w:val="center"/>
                  </w:pPr>
                  <w:r>
                    <w:t xml:space="preserve">VOA-SP</w:t>
                  </w:r>
                </w:p>
              </w:tc>
            </w:tr>
            <w:tr>
              <w:tc>
                <w:tcPr/>
                <w:p>
                  <w:pPr>
                    <w:pStyle w:val="Compact"/>
                    <w:jc w:val="center"/>
                    <w:jc w:val="center"/>
                  </w:pPr>
                  <w:r>
                    <w:t xml:space="preserve">CRCEA-SE</w:t>
                  </w:r>
                </w:p>
              </w:tc>
              <w:tc>
                <w:tcPr/>
                <w:p>
                  <w:pPr>
                    <w:pStyle w:val="Compact"/>
                    <w:jc w:val="center"/>
                    <w:jc w:val="center"/>
                  </w:pPr>
                  <w:r>
                    <w:t xml:space="preserve">AFIS</w:t>
                  </w:r>
                </w:p>
              </w:tc>
              <w:tc>
                <w:tcPr/>
                <w:p>
                  <w:pPr>
                    <w:pStyle w:val="Compact"/>
                    <w:jc w:val="center"/>
                    <w:jc w:val="center"/>
                  </w:pPr>
                  <w:r>
                    <w:t xml:space="preserve">SBCB</w:t>
                  </w:r>
                </w:p>
              </w:tc>
              <w:tc>
                <w:tcPr/>
                <w:p>
                  <w:pPr>
                    <w:pStyle w:val="Compact"/>
                    <w:jc w:val="center"/>
                    <w:jc w:val="center"/>
                  </w:pPr>
                  <w:r>
                    <w:t xml:space="preserve">Cabo Frio</w:t>
                  </w:r>
                </w:p>
              </w:tc>
              <w:tc>
                <w:tcPr/>
                <w:p>
                  <w:pPr>
                    <w:pStyle w:val="Compact"/>
                    <w:jc w:val="center"/>
                    <w:jc w:val="center"/>
                  </w:pPr>
                  <w:r>
                    <w:t xml:space="preserve">COSTA DO SOL</w:t>
                  </w:r>
                </w:p>
              </w:tc>
              <w:tc>
                <w:tcPr/>
                <w:p>
                  <w:pPr>
                    <w:pStyle w:val="Compact"/>
                    <w:jc w:val="center"/>
                    <w:jc w:val="center"/>
                  </w:pPr>
                  <w:r>
                    <w:t xml:space="preserve">COSTA DO SOL</w:t>
                  </w:r>
                </w:p>
              </w:tc>
              <w:tc>
                <w:tcPr/>
                <w:p>
                  <w:pPr>
                    <w:pStyle w:val="Compact"/>
                    <w:jc w:val="center"/>
                    <w:jc w:val="center"/>
                  </w:pPr>
                  <w:r>
                    <w:t xml:space="preserve">Costa do Sol</w:t>
                  </w:r>
                </w:p>
              </w:tc>
            </w:tr>
            <w:tr>
              <w:tc>
                <w:tcPr/>
                <w:p>
                  <w:pPr>
                    <w:pStyle w:val="Compact"/>
                    <w:jc w:val="center"/>
                    <w:jc w:val="center"/>
                  </w:pPr>
                  <w:r>
                    <w:t xml:space="preserve">Operadora Aeroportuária</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center"/>
                    <w:jc w:val="center"/>
                  </w:pPr>
                  <w:r>
                    <w:t xml:space="preserve">CRCEA-SE</w:t>
                  </w:r>
                </w:p>
              </w:tc>
              <w:tc>
                <w:tcPr/>
                <w:p>
                  <w:pPr>
                    <w:pStyle w:val="Compact"/>
                    <w:jc w:val="center"/>
                    <w:jc w:val="center"/>
                  </w:pPr>
                  <w:r>
                    <w:t xml:space="preserve">AFIS</w:t>
                  </w:r>
                </w:p>
              </w:tc>
              <w:tc>
                <w:tcPr/>
                <w:p>
                  <w:pPr>
                    <w:pStyle w:val="Compact"/>
                    <w:jc w:val="center"/>
                    <w:jc w:val="center"/>
                  </w:pPr>
                  <w:r>
                    <w:t xml:space="preserve">SBJH</w:t>
                  </w:r>
                </w:p>
              </w:tc>
              <w:tc>
                <w:tcPr/>
                <w:p>
                  <w:pPr>
                    <w:pStyle w:val="Compact"/>
                    <w:jc w:val="center"/>
                    <w:jc w:val="center"/>
                  </w:pPr>
                  <w:r>
                    <w:t xml:space="preserve">Catarina - São Roque</w:t>
                  </w:r>
                </w:p>
              </w:tc>
              <w:tc>
                <w:tcPr/>
                <w:p>
                  <w:pPr>
                    <w:pStyle w:val="Compact"/>
                    <w:jc w:val="center"/>
                    <w:jc w:val="center"/>
                  </w:pPr>
                  <w:r>
                    <w:t xml:space="preserve">JHSF</w:t>
                  </w:r>
                </w:p>
              </w:tc>
              <w:tc>
                <w:tcPr/>
                <w:p>
                  <w:pPr>
                    <w:pStyle w:val="Compact"/>
                    <w:jc w:val="center"/>
                    <w:jc w:val="center"/>
                  </w:pPr>
                  <w:r>
                    <w:t xml:space="preserve">AMD</w:t>
                  </w:r>
                </w:p>
              </w:tc>
              <w:tc>
                <w:tcPr/>
                <w:p>
                  <w:pPr>
                    <w:pStyle w:val="Compact"/>
                    <w:jc w:val="center"/>
                    <w:jc w:val="center"/>
                  </w:pPr>
                  <w:r>
                    <w:t xml:space="preserve">JHSF</w:t>
                  </w:r>
                </w:p>
              </w:tc>
            </w:tr>
            <w:tr>
              <w:tc>
                <w:tcPr/>
                <w:p>
                  <w:pPr>
                    <w:pStyle w:val="Compact"/>
                    <w:jc w:val="center"/>
                    <w:jc w:val="center"/>
                  </w:pPr>
                  <w:r>
                    <w:t xml:space="preserve">CRCEA-SE</w:t>
                  </w:r>
                </w:p>
              </w:tc>
              <w:tc>
                <w:tcPr/>
                <w:p>
                  <w:pPr>
                    <w:pStyle w:val="Compact"/>
                    <w:jc w:val="center"/>
                    <w:jc w:val="center"/>
                  </w:pPr>
                  <w:r>
                    <w:t xml:space="preserve">AFIS</w:t>
                  </w:r>
                </w:p>
              </w:tc>
              <w:tc>
                <w:tcPr/>
                <w:p>
                  <w:pPr>
                    <w:pStyle w:val="Compact"/>
                    <w:jc w:val="center"/>
                    <w:jc w:val="center"/>
                  </w:pPr>
                  <w:r>
                    <w:t xml:space="preserve">SBST</w:t>
                  </w:r>
                </w:p>
              </w:tc>
              <w:tc>
                <w:tcPr/>
                <w:p>
                  <w:pPr>
                    <w:pStyle w:val="Compact"/>
                    <w:jc w:val="center"/>
                    <w:jc w:val="center"/>
                  </w:pPr>
                  <w:r>
                    <w:t xml:space="preserve">Santos</w:t>
                  </w:r>
                </w:p>
              </w:tc>
              <w:tc>
                <w:tcPr/>
                <w:p>
                  <w:pPr>
                    <w:pStyle w:val="Compact"/>
                    <w:jc w:val="center"/>
                    <w:jc w:val="center"/>
                  </w:pPr>
                  <w:r>
                    <w:t xml:space="preserve">DTCEA-ST</w:t>
                  </w:r>
                </w:p>
              </w:tc>
              <w:tc>
                <w:tcPr/>
                <w:p>
                  <w:pPr>
                    <w:pStyle w:val="Compact"/>
                    <w:jc w:val="center"/>
                    <w:jc w:val="center"/>
                  </w:pPr>
                  <w:r>
                    <w:t xml:space="preserve">DTCEA-ST</w:t>
                  </w:r>
                </w:p>
              </w:tc>
              <w:tc>
                <w:tcPr/>
                <w:p>
                  <w:pPr>
                    <w:pStyle w:val="Compact"/>
                    <w:jc w:val="center"/>
                    <w:jc w:val="center"/>
                  </w:pPr>
                  <w:r>
                    <w:t xml:space="preserve">FAB</w:t>
                  </w:r>
                </w:p>
              </w:tc>
            </w:tr>
            <w:tr>
              <w:tc>
                <w:tcPr/>
                <w:p>
                  <w:pPr>
                    <w:pStyle w:val="Compact"/>
                    <w:jc w:val="center"/>
                    <w:jc w:val="center"/>
                  </w:pPr>
                  <w:r>
                    <w:t xml:space="preserve">CRCEA-SE</w:t>
                  </w:r>
                </w:p>
              </w:tc>
              <w:tc>
                <w:tcPr/>
                <w:p>
                  <w:pPr>
                    <w:pStyle w:val="Compact"/>
                    <w:jc w:val="center"/>
                    <w:jc w:val="center"/>
                  </w:pPr>
                  <w:r>
                    <w:t xml:space="preserve">AFIS</w:t>
                  </w:r>
                </w:p>
              </w:tc>
              <w:tc>
                <w:tcPr/>
                <w:p>
                  <w:pPr>
                    <w:pStyle w:val="Compact"/>
                    <w:jc w:val="center"/>
                    <w:jc w:val="center"/>
                  </w:pPr>
                  <w:r>
                    <w:t xml:space="preserve">SBMI</w:t>
                  </w:r>
                </w:p>
              </w:tc>
              <w:tc>
                <w:tcPr/>
                <w:p>
                  <w:pPr>
                    <w:pStyle w:val="Compact"/>
                    <w:jc w:val="center"/>
                    <w:jc w:val="center"/>
                  </w:pPr>
                  <w:r>
                    <w:t xml:space="preserve">Maricá</w:t>
                  </w:r>
                </w:p>
              </w:tc>
              <w:tc>
                <w:tcPr/>
                <w:p>
                  <w:pPr>
                    <w:pStyle w:val="Compact"/>
                    <w:jc w:val="center"/>
                    <w:jc w:val="center"/>
                  </w:pPr>
                  <w:r>
                    <w:t xml:space="preserve">CODEMAR</w:t>
                  </w:r>
                </w:p>
              </w:tc>
              <w:tc>
                <w:tcPr/>
                <w:p>
                  <w:pPr>
                    <w:pStyle w:val="Compact"/>
                    <w:jc w:val="center"/>
                    <w:jc w:val="center"/>
                  </w:pPr>
                  <w:r>
                    <w:t xml:space="preserve">AMD</w:t>
                  </w:r>
                </w:p>
              </w:tc>
              <w:tc>
                <w:tcPr/>
                <w:p>
                  <w:pPr>
                    <w:pStyle w:val="Compact"/>
                    <w:jc w:val="center"/>
                    <w:jc w:val="center"/>
                  </w:pPr>
                  <w:r>
                    <w:t xml:space="preserve">CODEMAR</w:t>
                  </w:r>
                </w:p>
              </w:tc>
            </w:tr>
            <w:tr>
              <w:tc>
                <w:tcPr/>
                <w:p>
                  <w:pPr>
                    <w:pStyle w:val="Compact"/>
                    <w:jc w:val="center"/>
                    <w:jc w:val="center"/>
                  </w:pPr>
                  <w:r>
                    <w:t xml:space="preserve">CRCEA-SE</w:t>
                  </w:r>
                </w:p>
              </w:tc>
              <w:tc>
                <w:tcPr/>
                <w:p>
                  <w:pPr>
                    <w:pStyle w:val="Compact"/>
                    <w:jc w:val="center"/>
                    <w:jc w:val="center"/>
                  </w:pPr>
                  <w:r>
                    <w:t xml:space="preserve">AFIS</w:t>
                  </w:r>
                </w:p>
              </w:tc>
              <w:tc>
                <w:tcPr/>
                <w:p>
                  <w:pPr>
                    <w:pStyle w:val="Compact"/>
                    <w:jc w:val="center"/>
                    <w:jc w:val="center"/>
                  </w:pPr>
                  <w:r>
                    <w:t xml:space="preserve">SDAM</w:t>
                  </w:r>
                </w:p>
              </w:tc>
              <w:tc>
                <w:tcPr/>
                <w:p>
                  <w:pPr>
                    <w:pStyle w:val="Compact"/>
                    <w:jc w:val="center"/>
                    <w:jc w:val="center"/>
                  </w:pPr>
                  <w:r>
                    <w:t xml:space="preserve">Amarais</w:t>
                  </w:r>
                </w:p>
              </w:tc>
              <w:tc>
                <w:tcPr/>
                <w:p>
                  <w:pPr>
                    <w:pStyle w:val="Compact"/>
                    <w:jc w:val="center"/>
                    <w:jc w:val="center"/>
                  </w:pPr>
                  <w:r>
                    <w:t xml:space="preserve">VOA-SP</w:t>
                  </w:r>
                </w:p>
              </w:tc>
              <w:tc>
                <w:tcPr/>
                <w:p>
                  <w:pPr>
                    <w:pStyle w:val="Compact"/>
                    <w:jc w:val="center"/>
                    <w:jc w:val="center"/>
                  </w:pPr>
                  <w:r>
                    <w:t xml:space="preserve">PAIM</w:t>
                  </w:r>
                </w:p>
              </w:tc>
              <w:tc>
                <w:tcPr/>
                <w:p>
                  <w:pPr>
                    <w:pStyle w:val="Compact"/>
                    <w:jc w:val="center"/>
                    <w:jc w:val="center"/>
                  </w:pPr>
                  <w:r>
                    <w:t xml:space="preserve">REDE VOA</w:t>
                  </w:r>
                </w:p>
              </w:tc>
            </w:tr>
            <w:tr>
              <w:tc>
                <w:tcPr/>
                <w:p>
                  <w:pPr>
                    <w:pStyle w:val="Compact"/>
                    <w:jc w:val="center"/>
                    <w:jc w:val="center"/>
                  </w:pPr>
                  <w:r>
                    <w:t xml:space="preserve">CRCEA-SE</w:t>
                  </w:r>
                </w:p>
              </w:tc>
              <w:tc>
                <w:tcPr/>
                <w:p>
                  <w:pPr>
                    <w:pStyle w:val="Compact"/>
                    <w:jc w:val="center"/>
                    <w:jc w:val="center"/>
                  </w:pPr>
                  <w:r>
                    <w:t xml:space="preserve">D-TWR</w:t>
                  </w:r>
                </w:p>
              </w:tc>
              <w:tc>
                <w:tcPr/>
                <w:p>
                  <w:pPr>
                    <w:pStyle w:val="Compact"/>
                    <w:jc w:val="center"/>
                    <w:jc w:val="center"/>
                  </w:pPr>
                  <w:r>
                    <w:t xml:space="preserve">SBSC</w:t>
                  </w:r>
                </w:p>
              </w:tc>
              <w:tc>
                <w:tcPr/>
                <w:p>
                  <w:pPr>
                    <w:pStyle w:val="Compact"/>
                    <w:jc w:val="center"/>
                    <w:jc w:val="center"/>
                  </w:pPr>
                  <w:r>
                    <w:t xml:space="preserve">Santa Cruz</w:t>
                  </w:r>
                </w:p>
              </w:tc>
              <w:tc>
                <w:tcPr/>
                <w:p>
                  <w:pPr>
                    <w:pStyle w:val="Compact"/>
                    <w:jc w:val="center"/>
                    <w:jc w:val="center"/>
                  </w:pPr>
                  <w:r>
                    <w:t xml:space="preserve">DTCEA-SC</w:t>
                  </w:r>
                </w:p>
              </w:tc>
              <w:tc>
                <w:tcPr/>
                <w:p>
                  <w:pPr>
                    <w:pStyle w:val="Compact"/>
                    <w:jc w:val="center"/>
                    <w:jc w:val="center"/>
                  </w:pPr>
                  <w:r>
                    <w:t xml:space="preserve">DTCEA-SC</w:t>
                  </w:r>
                </w:p>
              </w:tc>
              <w:tc>
                <w:tcPr/>
                <w:p>
                  <w:pPr>
                    <w:pStyle w:val="Compact"/>
                    <w:jc w:val="center"/>
                    <w:jc w:val="center"/>
                  </w:pPr>
                  <w:r>
                    <w:t xml:space="preserve">FAB</w:t>
                  </w:r>
                </w:p>
              </w:tc>
            </w:tr>
          </w:tbl>
          <w:bookmarkEnd w:id="500"/>
          <w:p/>
        </w:tc>
      </w:tr>
    </w:tbl>
    <w:bookmarkEnd w:id="501"/>
    <w:bookmarkStart w:id="502" w:name="anexo-b"/>
    <w:p>
      <w:pPr>
        <w:pStyle w:val="Ttulo1"/>
      </w:pPr>
      <w:r>
        <w:t xml:space="preserve">ANEXO B</w:t>
      </w:r>
    </w:p>
    <w:p>
      <w:pPr>
        <w:pStyle w:val="TableCaption"/>
      </w:pPr>
      <w:r>
        <w:t xml:space="preserve">Siglas, Acrônimos e Abreviaturas.</w:t>
      </w:r>
    </w:p>
    <w:tbl>
      <w:tblPr>
        <w:tblStyle w:val="Table"/>
        <w:tblW w:type="pct" w:w="5000"/>
        <w:tblLayout w:type="fixed"/>
        <w:tblLook w:firstRow="1" w:lastRow="0" w:firstColumn="0" w:lastColumn="0" w:noHBand="0" w:noVBand="0" w:val="0020"/>
        <w:tblCaption w:val="Siglas, Acrônimos e Abreviaturas."/>
      </w:tblPr>
      <w:tblGrid>
        <w:gridCol w:w="880"/>
        <w:gridCol w:w="7040"/>
      </w:tblGrid>
      <w:tr>
        <w:trPr>
          <w:tblHeader w:val="on"/>
        </w:trPr>
        <w:tc>
          <w:tcPr/>
          <w:p>
            <w:pPr>
              <w:pStyle w:val="Compact"/>
              <w:jc w:val="center"/>
            </w:pPr>
            <w:r>
              <w:t xml:space="preserve">Sigla</w:t>
            </w:r>
          </w:p>
        </w:tc>
        <w:tc>
          <w:tcPr/>
          <w:p>
            <w:pPr>
              <w:pStyle w:val="Compact"/>
              <w:jc w:val="center"/>
            </w:pPr>
            <w:r>
              <w:t xml:space="preserve">Significado</w:t>
            </w:r>
          </w:p>
        </w:tc>
      </w:tr>
      <w:tr>
        <w:tc>
          <w:tcPr/>
          <w:p>
            <w:pPr>
              <w:pStyle w:val="Compact"/>
              <w:jc w:val="center"/>
            </w:pPr>
            <w:r>
              <w:t xml:space="preserve">ABAG</w:t>
            </w:r>
          </w:p>
        </w:tc>
        <w:tc>
          <w:tcPr/>
          <w:p>
            <w:pPr>
              <w:pStyle w:val="Compact"/>
              <w:jc w:val="center"/>
            </w:pPr>
            <w:r>
              <w:t xml:space="preserve">Associação Brasileira de Aviação Geral</w:t>
            </w:r>
          </w:p>
        </w:tc>
      </w:tr>
      <w:tr>
        <w:tc>
          <w:tcPr/>
          <w:p>
            <w:pPr>
              <w:pStyle w:val="Compact"/>
              <w:jc w:val="center"/>
            </w:pPr>
            <w:r>
              <w:t xml:space="preserve">ABEAR</w:t>
            </w:r>
          </w:p>
        </w:tc>
        <w:tc>
          <w:tcPr/>
          <w:p>
            <w:pPr>
              <w:pStyle w:val="Compact"/>
              <w:jc w:val="center"/>
            </w:pPr>
            <w:r>
              <w:t xml:space="preserve">Associação Brasileira das Empresas Aéreas</w:t>
            </w:r>
          </w:p>
        </w:tc>
      </w:tr>
      <w:tr>
        <w:tc>
          <w:tcPr/>
          <w:p>
            <w:pPr>
              <w:pStyle w:val="Compact"/>
              <w:jc w:val="center"/>
            </w:pPr>
            <w:r>
              <w:t xml:space="preserve">ACC</w:t>
            </w:r>
          </w:p>
        </w:tc>
        <w:tc>
          <w:tcPr/>
          <w:p>
            <w:pPr>
              <w:pStyle w:val="Compact"/>
              <w:jc w:val="center"/>
            </w:pPr>
            <w:r>
              <w:t xml:space="preserve">Centro de Controle de Área</w:t>
            </w:r>
          </w:p>
        </w:tc>
      </w:tr>
      <w:tr>
        <w:tc>
          <w:tcPr/>
          <w:p>
            <w:pPr>
              <w:pStyle w:val="Compact"/>
              <w:jc w:val="center"/>
            </w:pPr>
            <w:r>
              <w:t xml:space="preserve">ADS-B</w:t>
            </w:r>
          </w:p>
        </w:tc>
        <w:tc>
          <w:tcPr/>
          <w:p>
            <w:pPr>
              <w:pStyle w:val="Compact"/>
              <w:jc w:val="center"/>
            </w:pPr>
            <w:r>
              <w:t xml:space="preserve">Automatic Dependent Surveillance-Broadcast</w:t>
            </w:r>
          </w:p>
        </w:tc>
      </w:tr>
      <w:tr>
        <w:tc>
          <w:tcPr/>
          <w:p>
            <w:pPr>
              <w:pStyle w:val="Compact"/>
              <w:jc w:val="center"/>
            </w:pPr>
            <w:r>
              <w:t xml:space="preserve">ADS-C</w:t>
            </w:r>
          </w:p>
        </w:tc>
        <w:tc>
          <w:tcPr/>
          <w:p>
            <w:pPr>
              <w:pStyle w:val="Compact"/>
              <w:jc w:val="center"/>
            </w:pPr>
            <w:r>
              <w:t xml:space="preserve">Automatic Dependent Surveillance-Contract</w:t>
            </w:r>
          </w:p>
        </w:tc>
      </w:tr>
      <w:tr>
        <w:tc>
          <w:tcPr/>
          <w:p>
            <w:pPr>
              <w:pStyle w:val="Compact"/>
              <w:jc w:val="center"/>
            </w:pPr>
            <w:r>
              <w:t xml:space="preserve">AFIS</w:t>
            </w:r>
          </w:p>
        </w:tc>
        <w:tc>
          <w:tcPr/>
          <w:p>
            <w:pPr>
              <w:pStyle w:val="Compact"/>
              <w:jc w:val="center"/>
            </w:pPr>
            <w:r>
              <w:t xml:space="preserve">Serviço de Informação de Voo de Aeródromo</w:t>
            </w:r>
          </w:p>
        </w:tc>
      </w:tr>
      <w:tr>
        <w:tc>
          <w:tcPr/>
          <w:p>
            <w:pPr>
              <w:pStyle w:val="Compact"/>
              <w:jc w:val="center"/>
            </w:pPr>
            <w:r>
              <w:t xml:space="preserve">AIBT</w:t>
            </w:r>
          </w:p>
        </w:tc>
        <w:tc>
          <w:tcPr/>
          <w:p>
            <w:pPr>
              <w:pStyle w:val="Compact"/>
              <w:jc w:val="center"/>
            </w:pPr>
            <w:r>
              <w:t xml:space="preserve">Actual In-Block Time</w:t>
            </w:r>
          </w:p>
        </w:tc>
      </w:tr>
      <w:tr>
        <w:tc>
          <w:tcPr/>
          <w:p>
            <w:pPr>
              <w:pStyle w:val="Compact"/>
              <w:jc w:val="center"/>
            </w:pPr>
            <w:r>
              <w:t xml:space="preserve">AIC</w:t>
            </w:r>
          </w:p>
        </w:tc>
        <w:tc>
          <w:tcPr/>
          <w:p>
            <w:pPr>
              <w:pStyle w:val="Compact"/>
              <w:jc w:val="center"/>
            </w:pPr>
            <w:r>
              <w:t xml:space="preserve">Circular de Informação Aeronáutica</w:t>
            </w:r>
          </w:p>
        </w:tc>
      </w:tr>
      <w:tr>
        <w:tc>
          <w:tcPr/>
          <w:p>
            <w:pPr>
              <w:pStyle w:val="Compact"/>
              <w:jc w:val="center"/>
            </w:pPr>
            <w:r>
              <w:t xml:space="preserve">AIP</w:t>
            </w:r>
          </w:p>
        </w:tc>
        <w:tc>
          <w:tcPr/>
          <w:p>
            <w:pPr>
              <w:pStyle w:val="Compact"/>
              <w:jc w:val="center"/>
            </w:pPr>
            <w:r>
              <w:t xml:space="preserve">Publicação de Informação Aeronáutica</w:t>
            </w:r>
          </w:p>
        </w:tc>
      </w:tr>
      <w:tr>
        <w:tc>
          <w:tcPr/>
          <w:p>
            <w:pPr>
              <w:pStyle w:val="Compact"/>
              <w:jc w:val="center"/>
            </w:pPr>
            <w:r>
              <w:t xml:space="preserve">AIRPROX</w:t>
            </w:r>
          </w:p>
        </w:tc>
        <w:tc>
          <w:tcPr/>
          <w:p>
            <w:pPr>
              <w:pStyle w:val="Compact"/>
              <w:jc w:val="center"/>
            </w:pPr>
            <w:r>
              <w:t xml:space="preserve">Proximidade entre aeronaves</w:t>
            </w:r>
          </w:p>
        </w:tc>
      </w:tr>
      <w:tr>
        <w:tc>
          <w:tcPr/>
          <w:p>
            <w:pPr>
              <w:pStyle w:val="Compact"/>
              <w:jc w:val="center"/>
            </w:pPr>
            <w:r>
              <w:t xml:space="preserve">ALDT</w:t>
            </w:r>
          </w:p>
        </w:tc>
        <w:tc>
          <w:tcPr/>
          <w:p>
            <w:pPr>
              <w:pStyle w:val="Compact"/>
              <w:jc w:val="center"/>
            </w:pPr>
            <w:r>
              <w:t xml:space="preserve">Actual Landing Time</w:t>
            </w:r>
          </w:p>
        </w:tc>
      </w:tr>
      <w:tr>
        <w:tc>
          <w:tcPr/>
          <w:p>
            <w:pPr>
              <w:pStyle w:val="Compact"/>
              <w:jc w:val="center"/>
            </w:pPr>
            <w:r>
              <w:t xml:space="preserve">AMAN</w:t>
            </w:r>
          </w:p>
        </w:tc>
        <w:tc>
          <w:tcPr/>
          <w:p>
            <w:pPr>
              <w:pStyle w:val="Compact"/>
              <w:jc w:val="center"/>
            </w:pPr>
            <w:r>
              <w:t xml:space="preserve">Arrival Manager</w:t>
            </w:r>
          </w:p>
        </w:tc>
      </w:tr>
      <w:tr>
        <w:tc>
          <w:tcPr/>
          <w:p>
            <w:pPr>
              <w:pStyle w:val="Compact"/>
              <w:jc w:val="center"/>
            </w:pPr>
            <w:r>
              <w:t xml:space="preserve">ANAC</w:t>
            </w:r>
          </w:p>
        </w:tc>
        <w:tc>
          <w:tcPr/>
          <w:p>
            <w:pPr>
              <w:pStyle w:val="Compact"/>
              <w:jc w:val="center"/>
            </w:pPr>
            <w:r>
              <w:t xml:space="preserve">Agência Nacional de Aviação Civil</w:t>
            </w:r>
          </w:p>
        </w:tc>
      </w:tr>
      <w:tr>
        <w:tc>
          <w:tcPr/>
          <w:p>
            <w:pPr>
              <w:pStyle w:val="Compact"/>
              <w:jc w:val="center"/>
            </w:pPr>
            <w:r>
              <w:t xml:space="preserve">AOBT</w:t>
            </w:r>
          </w:p>
        </w:tc>
        <w:tc>
          <w:tcPr/>
          <w:p>
            <w:pPr>
              <w:pStyle w:val="Compact"/>
              <w:jc w:val="center"/>
            </w:pPr>
            <w:r>
              <w:t xml:space="preserve">Actual Off-Block Time</w:t>
            </w:r>
          </w:p>
        </w:tc>
      </w:tr>
      <w:tr>
        <w:tc>
          <w:tcPr/>
          <w:p>
            <w:pPr>
              <w:pStyle w:val="Compact"/>
              <w:jc w:val="center"/>
            </w:pPr>
            <w:r>
              <w:t xml:space="preserve">APP</w:t>
            </w:r>
          </w:p>
        </w:tc>
        <w:tc>
          <w:tcPr/>
          <w:p>
            <w:pPr>
              <w:pStyle w:val="Compact"/>
              <w:jc w:val="center"/>
            </w:pPr>
            <w:r>
              <w:t xml:space="preserve">Controle de Aproximação</w:t>
            </w:r>
          </w:p>
        </w:tc>
      </w:tr>
      <w:tr>
        <w:tc>
          <w:tcPr/>
          <w:p>
            <w:pPr>
              <w:pStyle w:val="Compact"/>
              <w:jc w:val="center"/>
            </w:pPr>
            <w:r>
              <w:t xml:space="preserve">ASBU</w:t>
            </w:r>
          </w:p>
        </w:tc>
        <w:tc>
          <w:tcPr/>
          <w:p>
            <w:pPr>
              <w:pStyle w:val="Compact"/>
              <w:jc w:val="center"/>
            </w:pPr>
            <w:r>
              <w:t xml:space="preserve">Aviation System Block Upgrades</w:t>
            </w:r>
          </w:p>
        </w:tc>
      </w:tr>
      <w:tr>
        <w:tc>
          <w:tcPr/>
          <w:p>
            <w:pPr>
              <w:pStyle w:val="Compact"/>
              <w:jc w:val="center"/>
            </w:pPr>
            <w:r>
              <w:t xml:space="preserve">ASEGCEA</w:t>
            </w:r>
          </w:p>
        </w:tc>
        <w:tc>
          <w:tcPr/>
          <w:p>
            <w:pPr>
              <w:pStyle w:val="Compact"/>
              <w:jc w:val="center"/>
            </w:pPr>
            <w:r>
              <w:t xml:space="preserve">Assessoria de Segurança Operacional no Controle do Espaço Aéreo</w:t>
            </w:r>
          </w:p>
        </w:tc>
      </w:tr>
      <w:tr>
        <w:tc>
          <w:tcPr/>
          <w:p>
            <w:pPr>
              <w:pStyle w:val="Compact"/>
              <w:jc w:val="center"/>
            </w:pPr>
            <w:r>
              <w:t xml:space="preserve">ASMA</w:t>
            </w:r>
          </w:p>
        </w:tc>
        <w:tc>
          <w:tcPr/>
          <w:p>
            <w:pPr>
              <w:pStyle w:val="Compact"/>
              <w:jc w:val="center"/>
            </w:pPr>
            <w:r>
              <w:t xml:space="preserve">Arrival Sequencing and Metering Area</w:t>
            </w:r>
          </w:p>
        </w:tc>
      </w:tr>
      <w:tr>
        <w:tc>
          <w:tcPr/>
          <w:p>
            <w:pPr>
              <w:pStyle w:val="Compact"/>
              <w:jc w:val="center"/>
            </w:pPr>
            <w:r>
              <w:t xml:space="preserve">ATC</w:t>
            </w:r>
          </w:p>
        </w:tc>
        <w:tc>
          <w:tcPr/>
          <w:p>
            <w:pPr>
              <w:pStyle w:val="Compact"/>
              <w:jc w:val="center"/>
            </w:pPr>
            <w:r>
              <w:t xml:space="preserve">Controle de Tráfego Aéreo</w:t>
            </w:r>
          </w:p>
        </w:tc>
      </w:tr>
      <w:tr>
        <w:tc>
          <w:tcPr/>
          <w:p>
            <w:pPr>
              <w:pStyle w:val="Compact"/>
              <w:jc w:val="center"/>
            </w:pPr>
            <w:r>
              <w:t xml:space="preserve">ATCO</w:t>
            </w:r>
          </w:p>
        </w:tc>
        <w:tc>
          <w:tcPr/>
          <w:p>
            <w:pPr>
              <w:pStyle w:val="Compact"/>
              <w:jc w:val="center"/>
            </w:pPr>
            <w:r>
              <w:t xml:space="preserve">Controlador de Tráfego Aéreo</w:t>
            </w:r>
          </w:p>
        </w:tc>
      </w:tr>
      <w:tr>
        <w:tc>
          <w:tcPr/>
          <w:p>
            <w:pPr>
              <w:pStyle w:val="Compact"/>
              <w:jc w:val="center"/>
            </w:pPr>
            <w:r>
              <w:t xml:space="preserve">ATFM</w:t>
            </w:r>
          </w:p>
        </w:tc>
        <w:tc>
          <w:tcPr/>
          <w:p>
            <w:pPr>
              <w:pStyle w:val="Compact"/>
              <w:jc w:val="center"/>
            </w:pPr>
            <w:r>
              <w:t xml:space="preserve">Gerenciamento de Fluxo de Tráfego Aéreo</w:t>
            </w:r>
          </w:p>
        </w:tc>
      </w:tr>
      <w:tr>
        <w:tc>
          <w:tcPr/>
          <w:p>
            <w:pPr>
              <w:pStyle w:val="Compact"/>
              <w:jc w:val="center"/>
            </w:pPr>
            <w:r>
              <w:t xml:space="preserve">ATM</w:t>
            </w:r>
          </w:p>
        </w:tc>
        <w:tc>
          <w:tcPr/>
          <w:p>
            <w:pPr>
              <w:pStyle w:val="Compact"/>
              <w:jc w:val="center"/>
            </w:pPr>
            <w:r>
              <w:t xml:space="preserve">Gerenciamento de Tráfego Aéreo</w:t>
            </w:r>
          </w:p>
        </w:tc>
      </w:tr>
      <w:tr>
        <w:tc>
          <w:tcPr/>
          <w:p>
            <w:pPr>
              <w:pStyle w:val="Compact"/>
              <w:jc w:val="center"/>
            </w:pPr>
            <w:r>
              <w:t xml:space="preserve">ATOT</w:t>
            </w:r>
          </w:p>
        </w:tc>
        <w:tc>
          <w:tcPr/>
          <w:p>
            <w:pPr>
              <w:pStyle w:val="Compact"/>
              <w:jc w:val="center"/>
            </w:pPr>
            <w:r>
              <w:t xml:space="preserve">Actual Take Off Time</w:t>
            </w:r>
          </w:p>
        </w:tc>
      </w:tr>
      <w:tr>
        <w:tc>
          <w:tcPr/>
          <w:p>
            <w:pPr>
              <w:pStyle w:val="Compact"/>
              <w:jc w:val="center"/>
            </w:pPr>
            <w:r>
              <w:t xml:space="preserve">ATS</w:t>
            </w:r>
          </w:p>
        </w:tc>
        <w:tc>
          <w:tcPr/>
          <w:p>
            <w:pPr>
              <w:pStyle w:val="Compact"/>
              <w:jc w:val="center"/>
            </w:pPr>
            <w:r>
              <w:t xml:space="preserve">Serviços de Tráfego Aéreo</w:t>
            </w:r>
          </w:p>
        </w:tc>
      </w:tr>
      <w:tr>
        <w:tc>
          <w:tcPr/>
          <w:p>
            <w:pPr>
              <w:pStyle w:val="Compact"/>
              <w:jc w:val="center"/>
            </w:pPr>
            <w:r>
              <w:t xml:space="preserve">AVSEC</w:t>
            </w:r>
          </w:p>
        </w:tc>
        <w:tc>
          <w:tcPr/>
          <w:p>
            <w:pPr>
              <w:pStyle w:val="Compact"/>
              <w:jc w:val="center"/>
            </w:pPr>
            <w:r>
              <w:t xml:space="preserve">Aviation Security</w:t>
            </w:r>
          </w:p>
        </w:tc>
      </w:tr>
      <w:tr>
        <w:tc>
          <w:tcPr/>
          <w:p>
            <w:pPr>
              <w:pStyle w:val="Compact"/>
              <w:jc w:val="center"/>
            </w:pPr>
            <w:r>
              <w:t xml:space="preserve">AVSECCEA</w:t>
            </w:r>
          </w:p>
        </w:tc>
        <w:tc>
          <w:tcPr/>
          <w:p>
            <w:pPr>
              <w:pStyle w:val="Compact"/>
              <w:jc w:val="center"/>
            </w:pPr>
            <w:r>
              <w:t xml:space="preserve">Assessoria de Segurança da Aviação Civil no Controle do Espaço Aéreo</w:t>
            </w:r>
          </w:p>
        </w:tc>
      </w:tr>
      <w:tr>
        <w:tc>
          <w:tcPr/>
          <w:p>
            <w:pPr>
              <w:pStyle w:val="Compact"/>
              <w:jc w:val="center"/>
            </w:pPr>
            <w:r>
              <w:t xml:space="preserve">BCT</w:t>
            </w:r>
          </w:p>
        </w:tc>
        <w:tc>
          <w:tcPr/>
          <w:p>
            <w:pPr>
              <w:pStyle w:val="Compact"/>
              <w:jc w:val="center"/>
            </w:pPr>
            <w:r>
              <w:t xml:space="preserve">Especialista em Controle de Tráfego Aéreo</w:t>
            </w:r>
          </w:p>
        </w:tc>
      </w:tr>
      <w:tr>
        <w:tc>
          <w:tcPr/>
          <w:p>
            <w:pPr>
              <w:pStyle w:val="Compact"/>
              <w:jc w:val="center"/>
            </w:pPr>
            <w:r>
              <w:t xml:space="preserve">BDC</w:t>
            </w:r>
          </w:p>
        </w:tc>
        <w:tc>
          <w:tcPr/>
          <w:p>
            <w:pPr>
              <w:pStyle w:val="Compact"/>
              <w:jc w:val="center"/>
            </w:pPr>
            <w:r>
              <w:t xml:space="preserve">Banco de Dados Climatológicos</w:t>
            </w:r>
          </w:p>
        </w:tc>
      </w:tr>
      <w:tr>
        <w:tc>
          <w:tcPr/>
          <w:p>
            <w:pPr>
              <w:pStyle w:val="Compact"/>
              <w:jc w:val="center"/>
            </w:pPr>
            <w:r>
              <w:t xml:space="preserve">BIMTRA</w:t>
            </w:r>
          </w:p>
        </w:tc>
        <w:tc>
          <w:tcPr/>
          <w:p>
            <w:pPr>
              <w:pStyle w:val="Compact"/>
              <w:jc w:val="center"/>
            </w:pPr>
            <w:r>
              <w:t xml:space="preserve">Banco de Informações de Movimento de Tráfego Aéreo</w:t>
            </w:r>
          </w:p>
        </w:tc>
      </w:tr>
      <w:tr>
        <w:tc>
          <w:tcPr/>
          <w:p>
            <w:pPr>
              <w:pStyle w:val="Compact"/>
              <w:jc w:val="center"/>
            </w:pPr>
            <w:r>
              <w:t xml:space="preserve">CAG</w:t>
            </w:r>
          </w:p>
        </w:tc>
        <w:tc>
          <w:tcPr/>
          <w:p>
            <w:pPr>
              <w:pStyle w:val="Compact"/>
              <w:jc w:val="center"/>
            </w:pPr>
            <w:r>
              <w:t xml:space="preserve">Circulação Aérea Geral</w:t>
            </w:r>
          </w:p>
        </w:tc>
      </w:tr>
      <w:tr>
        <w:tc>
          <w:tcPr/>
          <w:p>
            <w:pPr>
              <w:pStyle w:val="Compact"/>
              <w:jc w:val="center"/>
            </w:pPr>
            <w:r>
              <w:t xml:space="preserve">CARSAMMA</w:t>
            </w:r>
          </w:p>
        </w:tc>
        <w:tc>
          <w:tcPr/>
          <w:p>
            <w:pPr>
              <w:pStyle w:val="Compact"/>
              <w:jc w:val="center"/>
            </w:pPr>
            <w:r>
              <w:t xml:space="preserve">Caribbean and South America Monitoring Agency</w:t>
            </w:r>
          </w:p>
        </w:tc>
      </w:tr>
      <w:tr>
        <w:tc>
          <w:tcPr/>
          <w:p>
            <w:pPr>
              <w:pStyle w:val="Compact"/>
              <w:jc w:val="center"/>
            </w:pPr>
            <w:r>
              <w:t xml:space="preserve">CCO</w:t>
            </w:r>
          </w:p>
        </w:tc>
        <w:tc>
          <w:tcPr/>
          <w:p>
            <w:pPr>
              <w:pStyle w:val="Compact"/>
              <w:jc w:val="center"/>
            </w:pPr>
            <w:r>
              <w:t xml:space="preserve">Continuous Climb Operations / Subida Contínua</w:t>
            </w:r>
          </w:p>
        </w:tc>
      </w:tr>
      <w:tr>
        <w:tc>
          <w:tcPr/>
          <w:p>
            <w:pPr>
              <w:pStyle w:val="Compact"/>
              <w:jc w:val="center"/>
            </w:pPr>
            <w:r>
              <w:t xml:space="preserve">CDO</w:t>
            </w:r>
          </w:p>
        </w:tc>
        <w:tc>
          <w:tcPr/>
          <w:p>
            <w:pPr>
              <w:pStyle w:val="Compact"/>
              <w:jc w:val="center"/>
            </w:pPr>
            <w:r>
              <w:t xml:space="preserve">Continuous Descent Operations / Descida Contínua</w:t>
            </w:r>
          </w:p>
        </w:tc>
      </w:tr>
      <w:tr>
        <w:tc>
          <w:tcPr/>
          <w:p>
            <w:pPr>
              <w:pStyle w:val="Compact"/>
              <w:jc w:val="center"/>
            </w:pPr>
            <w:r>
              <w:t xml:space="preserve">CENIPA</w:t>
            </w:r>
          </w:p>
        </w:tc>
        <w:tc>
          <w:tcPr/>
          <w:p>
            <w:pPr>
              <w:pStyle w:val="Compact"/>
              <w:jc w:val="center"/>
            </w:pPr>
            <w:r>
              <w:t xml:space="preserve">Centro de Investigação e Prevenção de Acidentes Aeronáuticos</w:t>
            </w:r>
          </w:p>
        </w:tc>
      </w:tr>
      <w:tr>
        <w:tc>
          <w:tcPr/>
          <w:p>
            <w:pPr>
              <w:pStyle w:val="Compact"/>
              <w:jc w:val="center"/>
            </w:pPr>
            <w:r>
              <w:t xml:space="preserve">CGNA</w:t>
            </w:r>
          </w:p>
        </w:tc>
        <w:tc>
          <w:tcPr/>
          <w:p>
            <w:pPr>
              <w:pStyle w:val="Compact"/>
              <w:jc w:val="center"/>
            </w:pPr>
            <w:r>
              <w:t xml:space="preserve">Centro de Gerenciamento da Navegação Aérea</w:t>
            </w:r>
          </w:p>
        </w:tc>
      </w:tr>
      <w:tr>
        <w:tc>
          <w:tcPr/>
          <w:p>
            <w:pPr>
              <w:pStyle w:val="Compact"/>
              <w:jc w:val="center"/>
            </w:pPr>
            <w:r>
              <w:t xml:space="preserve">CHS</w:t>
            </w:r>
          </w:p>
        </w:tc>
        <w:tc>
          <w:tcPr/>
          <w:p>
            <w:pPr>
              <w:pStyle w:val="Compact"/>
              <w:jc w:val="center"/>
            </w:pPr>
            <w:r>
              <w:t xml:space="preserve">Capacidade Horária do Setor</w:t>
            </w:r>
          </w:p>
        </w:tc>
      </w:tr>
      <w:tr>
        <w:tc>
          <w:tcPr/>
          <w:p>
            <w:pPr>
              <w:pStyle w:val="Compact"/>
              <w:jc w:val="center"/>
            </w:pPr>
            <w:r>
              <w:t xml:space="preserve">CINDACTA</w:t>
            </w:r>
          </w:p>
        </w:tc>
        <w:tc>
          <w:tcPr/>
          <w:p>
            <w:pPr>
              <w:pStyle w:val="Compact"/>
              <w:jc w:val="center"/>
            </w:pPr>
            <w:r>
              <w:t xml:space="preserve">Centro Integrado de Defesa Aérea e Controle de Tráfego Aéreo</w:t>
            </w:r>
          </w:p>
        </w:tc>
      </w:tr>
      <w:tr>
        <w:tc>
          <w:tcPr/>
          <w:p>
            <w:pPr>
              <w:pStyle w:val="Compact"/>
              <w:jc w:val="center"/>
            </w:pPr>
            <w:r>
              <w:t xml:space="preserve">COM</w:t>
            </w:r>
          </w:p>
        </w:tc>
        <w:tc>
          <w:tcPr/>
          <w:p>
            <w:pPr>
              <w:pStyle w:val="Compact"/>
              <w:jc w:val="center"/>
            </w:pPr>
            <w:r>
              <w:t xml:space="preserve">Circulação Operacional Militar</w:t>
            </w:r>
          </w:p>
        </w:tc>
      </w:tr>
      <w:tr>
        <w:tc>
          <w:tcPr/>
          <w:p>
            <w:pPr>
              <w:pStyle w:val="Compact"/>
              <w:jc w:val="center"/>
            </w:pPr>
            <w:r>
              <w:t xml:space="preserve">COMAER</w:t>
            </w:r>
          </w:p>
        </w:tc>
        <w:tc>
          <w:tcPr/>
          <w:p>
            <w:pPr>
              <w:pStyle w:val="Compact"/>
              <w:jc w:val="center"/>
            </w:pPr>
            <w:r>
              <w:t xml:space="preserve">Comando da Aeronáutica</w:t>
            </w:r>
          </w:p>
        </w:tc>
      </w:tr>
      <w:tr>
        <w:tc>
          <w:tcPr/>
          <w:p>
            <w:pPr>
              <w:pStyle w:val="Compact"/>
              <w:jc w:val="center"/>
            </w:pPr>
            <w:r>
              <w:t xml:space="preserve">CONOPS</w:t>
            </w:r>
          </w:p>
        </w:tc>
        <w:tc>
          <w:tcPr/>
          <w:p>
            <w:pPr>
              <w:pStyle w:val="Compact"/>
              <w:jc w:val="center"/>
            </w:pPr>
            <w:r>
              <w:t xml:space="preserve">Concepção Operacional</w:t>
            </w:r>
          </w:p>
        </w:tc>
      </w:tr>
      <w:tr>
        <w:tc>
          <w:tcPr/>
          <w:p>
            <w:pPr>
              <w:pStyle w:val="Compact"/>
              <w:jc w:val="center"/>
            </w:pPr>
            <w:r>
              <w:t xml:space="preserve">CORSIA</w:t>
            </w:r>
          </w:p>
        </w:tc>
        <w:tc>
          <w:tcPr/>
          <w:p>
            <w:pPr>
              <w:pStyle w:val="Compact"/>
              <w:jc w:val="center"/>
            </w:pPr>
            <w:r>
              <w:t xml:space="preserve">Carbon Offsetting and Reduction Scheme for International Aviation</w:t>
            </w:r>
          </w:p>
        </w:tc>
      </w:tr>
      <w:tr>
        <w:tc>
          <w:tcPr/>
          <w:p>
            <w:pPr>
              <w:pStyle w:val="Compact"/>
              <w:jc w:val="center"/>
            </w:pPr>
            <w:r>
              <w:t xml:space="preserve">CP-ATM</w:t>
            </w:r>
          </w:p>
        </w:tc>
        <w:tc>
          <w:tcPr/>
          <w:p>
            <w:pPr>
              <w:pStyle w:val="Compact"/>
              <w:jc w:val="center"/>
            </w:pPr>
            <w:r>
              <w:t xml:space="preserve">Comissão de Performance ATM</w:t>
            </w:r>
          </w:p>
        </w:tc>
      </w:tr>
      <w:tr>
        <w:tc>
          <w:tcPr/>
          <w:p>
            <w:pPr>
              <w:pStyle w:val="Compact"/>
              <w:jc w:val="center"/>
            </w:pPr>
            <w:r>
              <w:t xml:space="preserve">CPDLC</w:t>
            </w:r>
          </w:p>
        </w:tc>
        <w:tc>
          <w:tcPr/>
          <w:p>
            <w:pPr>
              <w:pStyle w:val="Compact"/>
              <w:jc w:val="center"/>
            </w:pPr>
            <w:r>
              <w:t xml:space="preserve">Controller Pilot Data Link Communications</w:t>
            </w:r>
          </w:p>
        </w:tc>
      </w:tr>
      <w:tr>
        <w:tc>
          <w:tcPr/>
          <w:p>
            <w:pPr>
              <w:pStyle w:val="Compact"/>
              <w:jc w:val="center"/>
            </w:pPr>
            <w:r>
              <w:t xml:space="preserve">CRCEA-SE</w:t>
            </w:r>
          </w:p>
        </w:tc>
        <w:tc>
          <w:tcPr/>
          <w:p>
            <w:pPr>
              <w:pStyle w:val="Compact"/>
              <w:jc w:val="center"/>
            </w:pPr>
            <w:r>
              <w:t xml:space="preserve">Centro Regional de Controle do Espaço Aéreo Sudeste</w:t>
            </w:r>
          </w:p>
        </w:tc>
      </w:tr>
      <w:tr>
        <w:tc>
          <w:tcPr/>
          <w:p>
            <w:pPr>
              <w:pStyle w:val="Compact"/>
              <w:jc w:val="center"/>
            </w:pPr>
            <w:r>
              <w:t xml:space="preserve">CTA</w:t>
            </w:r>
          </w:p>
        </w:tc>
        <w:tc>
          <w:tcPr/>
          <w:p>
            <w:pPr>
              <w:pStyle w:val="Compact"/>
              <w:jc w:val="center"/>
            </w:pPr>
            <w:r>
              <w:t xml:space="preserve">Controle de Tráfego Aéreo</w:t>
            </w:r>
          </w:p>
        </w:tc>
      </w:tr>
      <w:tr>
        <w:tc>
          <w:tcPr/>
          <w:p>
            <w:pPr>
              <w:pStyle w:val="Compact"/>
              <w:jc w:val="center"/>
            </w:pPr>
            <w:r>
              <w:t xml:space="preserve">DASA</w:t>
            </w:r>
          </w:p>
        </w:tc>
        <w:tc>
          <w:tcPr/>
          <w:p>
            <w:pPr>
              <w:pStyle w:val="Compact"/>
              <w:jc w:val="center"/>
            </w:pPr>
            <w:r>
              <w:t xml:space="preserve">Digital Airspace System Analysis</w:t>
            </w:r>
          </w:p>
        </w:tc>
      </w:tr>
      <w:tr>
        <w:tc>
          <w:tcPr/>
          <w:p>
            <w:pPr>
              <w:pStyle w:val="Compact"/>
              <w:jc w:val="center"/>
            </w:pPr>
            <w:r>
              <w:t xml:space="preserve">D-TWR</w:t>
            </w:r>
          </w:p>
        </w:tc>
        <w:tc>
          <w:tcPr/>
          <w:p>
            <w:pPr>
              <w:pStyle w:val="Compact"/>
              <w:jc w:val="center"/>
            </w:pPr>
            <w:r>
              <w:t xml:space="preserve">Torre de Controle Digital</w:t>
            </w:r>
          </w:p>
        </w:tc>
      </w:tr>
      <w:tr>
        <w:tc>
          <w:tcPr/>
          <w:p>
            <w:pPr>
              <w:pStyle w:val="Compact"/>
              <w:jc w:val="center"/>
            </w:pPr>
            <w:r>
              <w:t xml:space="preserve">DECEA</w:t>
            </w:r>
          </w:p>
        </w:tc>
        <w:tc>
          <w:tcPr/>
          <w:p>
            <w:pPr>
              <w:pStyle w:val="Compact"/>
              <w:jc w:val="center"/>
            </w:pPr>
            <w:r>
              <w:t xml:space="preserve">Departamento de Controle do Espaço Aéreo</w:t>
            </w:r>
          </w:p>
        </w:tc>
      </w:tr>
      <w:tr>
        <w:tc>
          <w:tcPr/>
          <w:p>
            <w:pPr>
              <w:pStyle w:val="Compact"/>
              <w:jc w:val="center"/>
            </w:pPr>
            <w:r>
              <w:t xml:space="preserve">DNB</w:t>
            </w:r>
          </w:p>
        </w:tc>
        <w:tc>
          <w:tcPr/>
          <w:p>
            <w:pPr>
              <w:pStyle w:val="Compact"/>
              <w:jc w:val="center"/>
            </w:pPr>
            <w:r>
              <w:t xml:space="preserve">Dependências da NAV Brasil</w:t>
            </w:r>
          </w:p>
        </w:tc>
      </w:tr>
      <w:tr>
        <w:tc>
          <w:tcPr/>
          <w:p>
            <w:pPr>
              <w:pStyle w:val="Compact"/>
              <w:jc w:val="center"/>
            </w:pPr>
            <w:r>
              <w:t xml:space="preserve">DTCEA</w:t>
            </w:r>
          </w:p>
        </w:tc>
        <w:tc>
          <w:tcPr/>
          <w:p>
            <w:pPr>
              <w:pStyle w:val="Compact"/>
              <w:jc w:val="center"/>
            </w:pPr>
            <w:r>
              <w:t xml:space="preserve">Destacamento de Controle do Espaço Aéreo</w:t>
            </w:r>
          </w:p>
        </w:tc>
      </w:tr>
      <w:tr>
        <w:tc>
          <w:tcPr/>
          <w:p>
            <w:pPr>
              <w:pStyle w:val="Compact"/>
              <w:jc w:val="center"/>
            </w:pPr>
            <w:r>
              <w:t xml:space="preserve">EACEA</w:t>
            </w:r>
          </w:p>
        </w:tc>
        <w:tc>
          <w:tcPr/>
          <w:p>
            <w:pPr>
              <w:pStyle w:val="Compact"/>
              <w:jc w:val="center"/>
            </w:pPr>
            <w:r>
              <w:t xml:space="preserve">Estações de Apoio ao Controle do Espaço Aéreo</w:t>
            </w:r>
          </w:p>
        </w:tc>
      </w:tr>
      <w:tr>
        <w:tc>
          <w:tcPr/>
          <w:p>
            <w:pPr>
              <w:pStyle w:val="Compact"/>
              <w:jc w:val="center"/>
            </w:pPr>
            <w:r>
              <w:t xml:space="preserve">EEAR</w:t>
            </w:r>
          </w:p>
        </w:tc>
        <w:tc>
          <w:tcPr/>
          <w:p>
            <w:pPr>
              <w:pStyle w:val="Compact"/>
              <w:jc w:val="center"/>
            </w:pPr>
            <w:r>
              <w:t xml:space="preserve">Escola de Especialistas de Aeronáutica</w:t>
            </w:r>
          </w:p>
        </w:tc>
      </w:tr>
      <w:tr>
        <w:tc>
          <w:tcPr/>
          <w:p>
            <w:pPr>
              <w:pStyle w:val="Compact"/>
              <w:jc w:val="center"/>
            </w:pPr>
            <w:r>
              <w:t xml:space="preserve">EUROCONTROL</w:t>
            </w:r>
          </w:p>
        </w:tc>
        <w:tc>
          <w:tcPr/>
          <w:p>
            <w:pPr>
              <w:pStyle w:val="Compact"/>
              <w:jc w:val="center"/>
            </w:pPr>
            <w:r>
              <w:t xml:space="preserve">European Organisation for the Safety of Air Navigation</w:t>
            </w:r>
          </w:p>
        </w:tc>
      </w:tr>
      <w:tr>
        <w:tc>
          <w:tcPr/>
          <w:p>
            <w:pPr>
              <w:pStyle w:val="Compact"/>
              <w:jc w:val="center"/>
            </w:pPr>
            <w:r>
              <w:t xml:space="preserve">eVTOL</w:t>
            </w:r>
          </w:p>
        </w:tc>
        <w:tc>
          <w:tcPr/>
          <w:p>
            <w:pPr>
              <w:pStyle w:val="Compact"/>
              <w:jc w:val="center"/>
            </w:pPr>
            <w:r>
              <w:t xml:space="preserve">Eletric Vertical Takeoff and Landing</w:t>
            </w:r>
          </w:p>
        </w:tc>
      </w:tr>
      <w:tr>
        <w:tc>
          <w:tcPr/>
          <w:p>
            <w:pPr>
              <w:pStyle w:val="Compact"/>
              <w:jc w:val="center"/>
            </w:pPr>
            <w:r>
              <w:t xml:space="preserve">EMAER</w:t>
            </w:r>
          </w:p>
        </w:tc>
        <w:tc>
          <w:tcPr/>
          <w:p>
            <w:pPr>
              <w:pStyle w:val="Compact"/>
              <w:jc w:val="center"/>
            </w:pPr>
            <w:r>
              <w:t xml:space="preserve">Estado Maior da Aeronáutica</w:t>
            </w:r>
          </w:p>
        </w:tc>
      </w:tr>
      <w:tr>
        <w:tc>
          <w:tcPr/>
          <w:p>
            <w:pPr>
              <w:pStyle w:val="Compact"/>
              <w:jc w:val="center"/>
            </w:pPr>
            <w:r>
              <w:t xml:space="preserve">ESG</w:t>
            </w:r>
          </w:p>
        </w:tc>
        <w:tc>
          <w:tcPr/>
          <w:p>
            <w:pPr>
              <w:pStyle w:val="Compact"/>
              <w:jc w:val="center"/>
            </w:pPr>
            <w:r>
              <w:t xml:space="preserve">Environmental, Social and Governance</w:t>
            </w:r>
          </w:p>
        </w:tc>
      </w:tr>
      <w:tr>
        <w:tc>
          <w:tcPr/>
          <w:p>
            <w:pPr>
              <w:pStyle w:val="Compact"/>
              <w:jc w:val="center"/>
            </w:pPr>
            <w:r>
              <w:t xml:space="preserve">FAA</w:t>
            </w:r>
          </w:p>
        </w:tc>
        <w:tc>
          <w:tcPr/>
          <w:p>
            <w:pPr>
              <w:pStyle w:val="Compact"/>
              <w:jc w:val="center"/>
            </w:pPr>
            <w:r>
              <w:t xml:space="preserve">Federal Aviation Administration</w:t>
            </w:r>
          </w:p>
        </w:tc>
      </w:tr>
      <w:tr>
        <w:tc>
          <w:tcPr/>
          <w:p>
            <w:pPr>
              <w:pStyle w:val="Compact"/>
              <w:jc w:val="center"/>
            </w:pPr>
            <w:r>
              <w:t xml:space="preserve">FF-ICE</w:t>
            </w:r>
          </w:p>
        </w:tc>
        <w:tc>
          <w:tcPr/>
          <w:p>
            <w:pPr>
              <w:pStyle w:val="Compact"/>
              <w:jc w:val="center"/>
            </w:pPr>
            <w:r>
              <w:t xml:space="preserve">Flight and Flow Information for a Collaborative Environment</w:t>
            </w:r>
          </w:p>
        </w:tc>
      </w:tr>
      <w:tr>
        <w:tc>
          <w:tcPr/>
          <w:p>
            <w:pPr>
              <w:pStyle w:val="Compact"/>
              <w:jc w:val="center"/>
            </w:pPr>
            <w:r>
              <w:t xml:space="preserve">FIR</w:t>
            </w:r>
          </w:p>
        </w:tc>
        <w:tc>
          <w:tcPr/>
          <w:p>
            <w:pPr>
              <w:pStyle w:val="Compact"/>
              <w:jc w:val="center"/>
            </w:pPr>
            <w:r>
              <w:t xml:space="preserve">Região de Informação de Voo</w:t>
            </w:r>
          </w:p>
        </w:tc>
      </w:tr>
      <w:tr>
        <w:tc>
          <w:tcPr/>
          <w:p>
            <w:pPr>
              <w:pStyle w:val="Compact"/>
              <w:jc w:val="center"/>
            </w:pPr>
            <w:r>
              <w:t xml:space="preserve">FIR-AO</w:t>
            </w:r>
          </w:p>
        </w:tc>
        <w:tc>
          <w:tcPr/>
          <w:p>
            <w:pPr>
              <w:pStyle w:val="Compact"/>
              <w:jc w:val="center"/>
            </w:pPr>
            <w:r>
              <w:t xml:space="preserve">Região de Informação de Voo Atlântico</w:t>
            </w:r>
          </w:p>
        </w:tc>
      </w:tr>
      <w:tr>
        <w:tc>
          <w:tcPr/>
          <w:p>
            <w:pPr>
              <w:pStyle w:val="Compact"/>
              <w:jc w:val="center"/>
            </w:pPr>
            <w:r>
              <w:t xml:space="preserve">FIR-AZ</w:t>
            </w:r>
          </w:p>
        </w:tc>
        <w:tc>
          <w:tcPr/>
          <w:p>
            <w:pPr>
              <w:pStyle w:val="Compact"/>
              <w:jc w:val="center"/>
            </w:pPr>
            <w:r>
              <w:t xml:space="preserve">Região de Informação de Voo Amazônica</w:t>
            </w:r>
          </w:p>
        </w:tc>
      </w:tr>
      <w:tr>
        <w:tc>
          <w:tcPr/>
          <w:p>
            <w:pPr>
              <w:pStyle w:val="Compact"/>
              <w:jc w:val="center"/>
            </w:pPr>
            <w:r>
              <w:t xml:space="preserve">FIR-BS</w:t>
            </w:r>
          </w:p>
        </w:tc>
        <w:tc>
          <w:tcPr/>
          <w:p>
            <w:pPr>
              <w:pStyle w:val="Compact"/>
              <w:jc w:val="center"/>
            </w:pPr>
            <w:r>
              <w:t xml:space="preserve">Região de Informação de Voo Brasília</w:t>
            </w:r>
          </w:p>
        </w:tc>
      </w:tr>
      <w:tr>
        <w:tc>
          <w:tcPr/>
          <w:p>
            <w:pPr>
              <w:pStyle w:val="Compact"/>
              <w:jc w:val="center"/>
            </w:pPr>
            <w:r>
              <w:t xml:space="preserve">FIR-CW</w:t>
            </w:r>
          </w:p>
        </w:tc>
        <w:tc>
          <w:tcPr/>
          <w:p>
            <w:pPr>
              <w:pStyle w:val="Compact"/>
              <w:jc w:val="center"/>
            </w:pPr>
            <w:r>
              <w:t xml:space="preserve">Região de Informação de Voo Curitiba</w:t>
            </w:r>
          </w:p>
        </w:tc>
      </w:tr>
      <w:tr>
        <w:tc>
          <w:tcPr/>
          <w:p>
            <w:pPr>
              <w:pStyle w:val="Compact"/>
              <w:jc w:val="center"/>
            </w:pPr>
            <w:r>
              <w:t xml:space="preserve">FIR-RE</w:t>
            </w:r>
          </w:p>
        </w:tc>
        <w:tc>
          <w:tcPr/>
          <w:p>
            <w:pPr>
              <w:pStyle w:val="Compact"/>
              <w:jc w:val="center"/>
            </w:pPr>
            <w:r>
              <w:t xml:space="preserve">Região de Informação de Voo Recife</w:t>
            </w:r>
          </w:p>
        </w:tc>
      </w:tr>
      <w:tr>
        <w:tc>
          <w:tcPr/>
          <w:p>
            <w:pPr>
              <w:pStyle w:val="Compact"/>
              <w:jc w:val="center"/>
            </w:pPr>
            <w:r>
              <w:t xml:space="preserve">FIS</w:t>
            </w:r>
          </w:p>
        </w:tc>
        <w:tc>
          <w:tcPr/>
          <w:p>
            <w:pPr>
              <w:pStyle w:val="Compact"/>
              <w:jc w:val="center"/>
            </w:pPr>
            <w:r>
              <w:t xml:space="preserve">Flight Information Service</w:t>
            </w:r>
          </w:p>
        </w:tc>
      </w:tr>
      <w:tr>
        <w:tc>
          <w:tcPr/>
          <w:p>
            <w:pPr>
              <w:pStyle w:val="Compact"/>
              <w:jc w:val="center"/>
            </w:pPr>
            <w:r>
              <w:t xml:space="preserve">FMC</w:t>
            </w:r>
          </w:p>
        </w:tc>
        <w:tc>
          <w:tcPr/>
          <w:p>
            <w:pPr>
              <w:pStyle w:val="Compact"/>
              <w:jc w:val="center"/>
            </w:pPr>
            <w:r>
              <w:t xml:space="preserve">Células de Gerenciamento de Fluxo</w:t>
            </w:r>
          </w:p>
        </w:tc>
      </w:tr>
      <w:tr>
        <w:tc>
          <w:tcPr/>
          <w:p>
            <w:pPr>
              <w:pStyle w:val="Compact"/>
              <w:jc w:val="center"/>
            </w:pPr>
            <w:r>
              <w:t xml:space="preserve">FNO</w:t>
            </w:r>
          </w:p>
        </w:tc>
        <w:tc>
          <w:tcPr/>
          <w:p>
            <w:pPr>
              <w:pStyle w:val="Compact"/>
              <w:jc w:val="center"/>
            </w:pPr>
            <w:r>
              <w:t xml:space="preserve">Ficha de Notificação de Ocorrência</w:t>
            </w:r>
          </w:p>
        </w:tc>
      </w:tr>
      <w:tr>
        <w:tc>
          <w:tcPr/>
          <w:p>
            <w:pPr>
              <w:pStyle w:val="Compact"/>
              <w:jc w:val="center"/>
            </w:pPr>
            <w:r>
              <w:t xml:space="preserve">FPL</w:t>
            </w:r>
          </w:p>
        </w:tc>
        <w:tc>
          <w:tcPr/>
          <w:p>
            <w:pPr>
              <w:pStyle w:val="Compact"/>
              <w:jc w:val="center"/>
            </w:pPr>
            <w:r>
              <w:t xml:space="preserve">Flight Plan</w:t>
            </w:r>
          </w:p>
        </w:tc>
      </w:tr>
      <w:tr>
        <w:tc>
          <w:tcPr/>
          <w:p>
            <w:pPr>
              <w:pStyle w:val="Compact"/>
              <w:jc w:val="center"/>
            </w:pPr>
            <w:r>
              <w:t xml:space="preserve">GANP</w:t>
            </w:r>
          </w:p>
        </w:tc>
        <w:tc>
          <w:tcPr/>
          <w:p>
            <w:pPr>
              <w:pStyle w:val="Compact"/>
              <w:jc w:val="center"/>
            </w:pPr>
            <w:r>
              <w:t xml:space="preserve">Plano Global de Navegação Aérea</w:t>
            </w:r>
          </w:p>
        </w:tc>
      </w:tr>
      <w:tr>
        <w:tc>
          <w:tcPr/>
          <w:p>
            <w:pPr>
              <w:pStyle w:val="Compact"/>
              <w:jc w:val="center"/>
            </w:pPr>
            <w:r>
              <w:t xml:space="preserve">GCC</w:t>
            </w:r>
          </w:p>
        </w:tc>
        <w:tc>
          <w:tcPr/>
          <w:p>
            <w:pPr>
              <w:pStyle w:val="Compact"/>
              <w:jc w:val="center"/>
            </w:pPr>
            <w:r>
              <w:t xml:space="preserve">Grupo de Comunicações e Controle</w:t>
            </w:r>
          </w:p>
        </w:tc>
      </w:tr>
      <w:tr>
        <w:tc>
          <w:tcPr/>
          <w:p>
            <w:pPr>
              <w:pStyle w:val="Compact"/>
              <w:jc w:val="center"/>
            </w:pPr>
            <w:r>
              <w:t xml:space="preserve">GDP</w:t>
            </w:r>
          </w:p>
        </w:tc>
        <w:tc>
          <w:tcPr/>
          <w:p>
            <w:pPr>
              <w:pStyle w:val="Compact"/>
              <w:jc w:val="center"/>
            </w:pPr>
            <w:r>
              <w:t xml:space="preserve">Ground Delay Program</w:t>
            </w:r>
          </w:p>
        </w:tc>
      </w:tr>
      <w:tr>
        <w:tc>
          <w:tcPr/>
          <w:p>
            <w:pPr>
              <w:pStyle w:val="Compact"/>
              <w:jc w:val="center"/>
            </w:pPr>
            <w:r>
              <w:t xml:space="preserve">GEPEA</w:t>
            </w:r>
          </w:p>
        </w:tc>
        <w:tc>
          <w:tcPr/>
          <w:p>
            <w:pPr>
              <w:pStyle w:val="Compact"/>
              <w:jc w:val="center"/>
            </w:pPr>
            <w:r>
              <w:t xml:space="preserve">Grupo de Planejamento do Espaço Aéreo</w:t>
            </w:r>
          </w:p>
        </w:tc>
      </w:tr>
      <w:tr>
        <w:tc>
          <w:tcPr/>
          <w:p>
            <w:pPr>
              <w:pStyle w:val="Compact"/>
              <w:jc w:val="center"/>
            </w:pPr>
            <w:r>
              <w:t xml:space="preserve">GS</w:t>
            </w:r>
          </w:p>
        </w:tc>
        <w:tc>
          <w:tcPr/>
          <w:p>
            <w:pPr>
              <w:pStyle w:val="Compact"/>
              <w:jc w:val="center"/>
            </w:pPr>
            <w:r>
              <w:t xml:space="preserve">Ground Stop</w:t>
            </w:r>
          </w:p>
        </w:tc>
      </w:tr>
      <w:tr>
        <w:tc>
          <w:tcPr/>
          <w:p>
            <w:pPr>
              <w:pStyle w:val="Compact"/>
              <w:jc w:val="center"/>
            </w:pPr>
            <w:r>
              <w:t xml:space="preserve">HALE</w:t>
            </w:r>
          </w:p>
        </w:tc>
        <w:tc>
          <w:tcPr/>
          <w:p>
            <w:pPr>
              <w:pStyle w:val="Compact"/>
              <w:jc w:val="center"/>
            </w:pPr>
            <w:r>
              <w:t xml:space="preserve">RPAS de Alta Altitude e Longa Duração</w:t>
            </w:r>
          </w:p>
        </w:tc>
      </w:tr>
      <w:tr>
        <w:tc>
          <w:tcPr/>
          <w:p>
            <w:pPr>
              <w:pStyle w:val="Compact"/>
              <w:jc w:val="center"/>
            </w:pPr>
            <w:r>
              <w:t xml:space="preserve">HAO</w:t>
            </w:r>
          </w:p>
        </w:tc>
        <w:tc>
          <w:tcPr/>
          <w:p>
            <w:pPr>
              <w:pStyle w:val="Compact"/>
              <w:jc w:val="center"/>
            </w:pPr>
            <w:r>
              <w:t xml:space="preserve">High Altitude Operations / Operações em Alta Altitude</w:t>
            </w:r>
          </w:p>
        </w:tc>
      </w:tr>
      <w:tr>
        <w:tc>
          <w:tcPr/>
          <w:p>
            <w:pPr>
              <w:pStyle w:val="Compact"/>
              <w:jc w:val="center"/>
            </w:pPr>
            <w:r>
              <w:t xml:space="preserve">HAPS</w:t>
            </w:r>
          </w:p>
        </w:tc>
        <w:tc>
          <w:tcPr/>
          <w:p>
            <w:pPr>
              <w:pStyle w:val="Compact"/>
              <w:jc w:val="center"/>
            </w:pPr>
            <w:r>
              <w:t xml:space="preserve">Pseudo-satélites de Alta Altitude</w:t>
            </w:r>
          </w:p>
        </w:tc>
      </w:tr>
      <w:tr>
        <w:tc>
          <w:tcPr/>
          <w:p>
            <w:pPr>
              <w:pStyle w:val="Compact"/>
              <w:jc w:val="center"/>
            </w:pPr>
            <w:r>
              <w:t xml:space="preserve">HE</w:t>
            </w:r>
          </w:p>
        </w:tc>
        <w:tc>
          <w:tcPr/>
          <w:p>
            <w:pPr>
              <w:pStyle w:val="Compact"/>
              <w:jc w:val="center"/>
            </w:pPr>
            <w:r>
              <w:t xml:space="preserve">Hora Escalada</w:t>
            </w:r>
          </w:p>
        </w:tc>
      </w:tr>
      <w:tr>
        <w:tc>
          <w:tcPr/>
          <w:p>
            <w:pPr>
              <w:pStyle w:val="Compact"/>
              <w:jc w:val="center"/>
            </w:pPr>
            <w:r>
              <w:t xml:space="preserve">HL</w:t>
            </w:r>
          </w:p>
        </w:tc>
        <w:tc>
          <w:tcPr/>
          <w:p>
            <w:pPr>
              <w:pStyle w:val="Compact"/>
              <w:jc w:val="center"/>
            </w:pPr>
            <w:r>
              <w:t xml:space="preserve">Hora Logada</w:t>
            </w:r>
          </w:p>
        </w:tc>
      </w:tr>
      <w:tr>
        <w:tc>
          <w:tcPr/>
          <w:p>
            <w:pPr>
              <w:pStyle w:val="Compact"/>
              <w:jc w:val="center"/>
            </w:pPr>
            <w:r>
              <w:t xml:space="preserve">IATA</w:t>
            </w:r>
          </w:p>
        </w:tc>
        <w:tc>
          <w:tcPr/>
          <w:p>
            <w:pPr>
              <w:pStyle w:val="Compact"/>
              <w:jc w:val="center"/>
            </w:pPr>
            <w:r>
              <w:t xml:space="preserve">Associação Internacional de Transportes Aéreos</w:t>
            </w:r>
          </w:p>
        </w:tc>
      </w:tr>
      <w:tr>
        <w:tc>
          <w:tcPr/>
          <w:p>
            <w:pPr>
              <w:pStyle w:val="Compact"/>
              <w:jc w:val="center"/>
            </w:pPr>
            <w:r>
              <w:t xml:space="preserve">ICEA</w:t>
            </w:r>
          </w:p>
        </w:tc>
        <w:tc>
          <w:tcPr/>
          <w:p>
            <w:pPr>
              <w:pStyle w:val="Compact"/>
              <w:jc w:val="center"/>
            </w:pPr>
            <w:r>
              <w:t xml:space="preserve">Instituto de Controle do Espeço Aéreo</w:t>
            </w:r>
          </w:p>
        </w:tc>
      </w:tr>
      <w:tr>
        <w:tc>
          <w:tcPr/>
          <w:p>
            <w:pPr>
              <w:pStyle w:val="Compact"/>
              <w:jc w:val="center"/>
            </w:pPr>
            <w:r>
              <w:t xml:space="preserve">IDBR</w:t>
            </w:r>
          </w:p>
        </w:tc>
        <w:tc>
          <w:tcPr/>
          <w:p>
            <w:pPr>
              <w:pStyle w:val="Compact"/>
              <w:jc w:val="center"/>
            </w:pPr>
            <w:r>
              <w:t xml:space="preserve">Indicador de Performance Brasil</w:t>
            </w:r>
          </w:p>
        </w:tc>
      </w:tr>
      <w:tr>
        <w:tc>
          <w:tcPr/>
          <w:p>
            <w:pPr>
              <w:pStyle w:val="Compact"/>
              <w:jc w:val="center"/>
            </w:pPr>
            <w:r>
              <w:t xml:space="preserve">IDSO</w:t>
            </w:r>
          </w:p>
        </w:tc>
        <w:tc>
          <w:tcPr/>
          <w:p>
            <w:pPr>
              <w:pStyle w:val="Compact"/>
              <w:jc w:val="center"/>
            </w:pPr>
            <w:r>
              <w:t xml:space="preserve">Índice de Performance da Segurança Operacional</w:t>
            </w:r>
          </w:p>
        </w:tc>
      </w:tr>
      <w:tr>
        <w:tc>
          <w:tcPr/>
          <w:p>
            <w:pPr>
              <w:pStyle w:val="Compact"/>
              <w:jc w:val="center"/>
            </w:pPr>
            <w:r>
              <w:t xml:space="preserve">IFR</w:t>
            </w:r>
          </w:p>
        </w:tc>
        <w:tc>
          <w:tcPr/>
          <w:p>
            <w:pPr>
              <w:pStyle w:val="Compact"/>
              <w:jc w:val="center"/>
            </w:pPr>
            <w:r>
              <w:t xml:space="preserve">Instrument Flight Rules</w:t>
            </w:r>
          </w:p>
        </w:tc>
      </w:tr>
      <w:tr>
        <w:tc>
          <w:tcPr/>
          <w:p>
            <w:pPr>
              <w:pStyle w:val="Compact"/>
              <w:jc w:val="center"/>
            </w:pPr>
            <w:r>
              <w:t xml:space="preserve">IMC</w:t>
            </w:r>
          </w:p>
        </w:tc>
        <w:tc>
          <w:tcPr/>
          <w:p>
            <w:pPr>
              <w:pStyle w:val="Compact"/>
              <w:jc w:val="center"/>
            </w:pPr>
            <w:r>
              <w:t xml:space="preserve">Condições Meteorológicas de Voo por Instrumentos</w:t>
            </w:r>
          </w:p>
        </w:tc>
      </w:tr>
      <w:tr>
        <w:tc>
          <w:tcPr/>
          <w:p>
            <w:pPr>
              <w:pStyle w:val="Compact"/>
              <w:jc w:val="center"/>
            </w:pPr>
            <w:r>
              <w:t xml:space="preserve">KPA</w:t>
            </w:r>
          </w:p>
        </w:tc>
        <w:tc>
          <w:tcPr/>
          <w:p>
            <w:pPr>
              <w:pStyle w:val="Compact"/>
              <w:jc w:val="center"/>
            </w:pPr>
            <w:r>
              <w:t xml:space="preserve">Key Performance Areas</w:t>
            </w:r>
          </w:p>
        </w:tc>
      </w:tr>
      <w:tr>
        <w:tc>
          <w:tcPr/>
          <w:p>
            <w:pPr>
              <w:pStyle w:val="Compact"/>
              <w:jc w:val="center"/>
            </w:pPr>
            <w:r>
              <w:t xml:space="preserve">KPI</w:t>
            </w:r>
          </w:p>
        </w:tc>
        <w:tc>
          <w:tcPr/>
          <w:p>
            <w:pPr>
              <w:pStyle w:val="Compact"/>
              <w:jc w:val="center"/>
            </w:pPr>
            <w:r>
              <w:t xml:space="preserve">Key Performance Indicators</w:t>
            </w:r>
          </w:p>
        </w:tc>
      </w:tr>
      <w:tr>
        <w:tc>
          <w:tcPr/>
          <w:p>
            <w:pPr>
              <w:pStyle w:val="Compact"/>
              <w:jc w:val="center"/>
            </w:pPr>
            <w:r>
              <w:t xml:space="preserve">LRO</w:t>
            </w:r>
          </w:p>
        </w:tc>
        <w:tc>
          <w:tcPr/>
          <w:p>
            <w:pPr>
              <w:pStyle w:val="Compact"/>
              <w:jc w:val="center"/>
            </w:pPr>
            <w:r>
              <w:t xml:space="preserve">Livro de Registro de Ocorrências</w:t>
            </w:r>
          </w:p>
        </w:tc>
      </w:tr>
      <w:tr>
        <w:tc>
          <w:tcPr/>
          <w:p>
            <w:pPr>
              <w:pStyle w:val="Compact"/>
              <w:jc w:val="center"/>
            </w:pPr>
            <w:r>
              <w:t xml:space="preserve">MCA</w:t>
            </w:r>
          </w:p>
        </w:tc>
        <w:tc>
          <w:tcPr/>
          <w:p>
            <w:pPr>
              <w:pStyle w:val="Compact"/>
              <w:jc w:val="center"/>
            </w:pPr>
            <w:r>
              <w:t xml:space="preserve">Manual do Comando da Aeronáutica</w:t>
            </w:r>
          </w:p>
        </w:tc>
      </w:tr>
      <w:tr>
        <w:tc>
          <w:tcPr/>
          <w:p>
            <w:pPr>
              <w:pStyle w:val="Compact"/>
              <w:jc w:val="center"/>
            </w:pPr>
            <w:r>
              <w:t xml:space="preserve">MDI</w:t>
            </w:r>
          </w:p>
        </w:tc>
        <w:tc>
          <w:tcPr/>
          <w:p>
            <w:pPr>
              <w:pStyle w:val="Compact"/>
              <w:jc w:val="center"/>
            </w:pPr>
            <w:r>
              <w:t xml:space="preserve">Minimum Departure Interval</w:t>
            </w:r>
          </w:p>
        </w:tc>
      </w:tr>
      <w:tr>
        <w:tc>
          <w:tcPr/>
          <w:p>
            <w:pPr>
              <w:pStyle w:val="Compact"/>
              <w:jc w:val="center"/>
            </w:pPr>
            <w:r>
              <w:t xml:space="preserve">METAR</w:t>
            </w:r>
          </w:p>
        </w:tc>
        <w:tc>
          <w:tcPr/>
          <w:p>
            <w:pPr>
              <w:pStyle w:val="Compact"/>
              <w:jc w:val="center"/>
            </w:pPr>
            <w:r>
              <w:t xml:space="preserve">Meteorological Aerodrome Report</w:t>
            </w:r>
          </w:p>
        </w:tc>
      </w:tr>
      <w:tr>
        <w:tc>
          <w:tcPr/>
          <w:p>
            <w:pPr>
              <w:pStyle w:val="Compact"/>
              <w:jc w:val="center"/>
            </w:pPr>
            <w:r>
              <w:t xml:space="preserve">MINIT</w:t>
            </w:r>
          </w:p>
        </w:tc>
        <w:tc>
          <w:tcPr/>
          <w:p>
            <w:pPr>
              <w:pStyle w:val="Compact"/>
              <w:jc w:val="center"/>
            </w:pPr>
            <w:r>
              <w:t xml:space="preserve">Minutos à Cauda</w:t>
            </w:r>
          </w:p>
        </w:tc>
      </w:tr>
      <w:tr>
        <w:tc>
          <w:tcPr/>
          <w:p>
            <w:pPr>
              <w:pStyle w:val="Compact"/>
              <w:jc w:val="center"/>
            </w:pPr>
            <w:r>
              <w:t xml:space="preserve">MIT</w:t>
            </w:r>
          </w:p>
        </w:tc>
        <w:tc>
          <w:tcPr/>
          <w:p>
            <w:pPr>
              <w:pStyle w:val="Compact"/>
              <w:jc w:val="center"/>
            </w:pPr>
            <w:r>
              <w:t xml:space="preserve">Miles in Trail</w:t>
            </w:r>
          </w:p>
        </w:tc>
      </w:tr>
      <w:tr>
        <w:tc>
          <w:tcPr/>
          <w:p>
            <w:pPr>
              <w:pStyle w:val="Compact"/>
              <w:jc w:val="center"/>
            </w:pPr>
            <w:r>
              <w:t xml:space="preserve">MOU</w:t>
            </w:r>
          </w:p>
        </w:tc>
        <w:tc>
          <w:tcPr/>
          <w:p>
            <w:pPr>
              <w:pStyle w:val="Compact"/>
              <w:jc w:val="center"/>
            </w:pPr>
            <w:r>
              <w:t xml:space="preserve">Memorandum of Understanding / Memorando de Entendimento</w:t>
            </w:r>
          </w:p>
        </w:tc>
      </w:tr>
      <w:tr>
        <w:tc>
          <w:tcPr/>
          <w:p>
            <w:pPr>
              <w:pStyle w:val="Compact"/>
              <w:jc w:val="center"/>
            </w:pPr>
            <w:r>
              <w:t xml:space="preserve">MRG</w:t>
            </w:r>
          </w:p>
        </w:tc>
        <w:tc>
          <w:tcPr/>
          <w:p>
            <w:pPr>
              <w:pStyle w:val="Compact"/>
              <w:jc w:val="center"/>
            </w:pPr>
            <w:r>
              <w:t xml:space="preserve">Condições Meteorológicas Marginais</w:t>
            </w:r>
          </w:p>
        </w:tc>
      </w:tr>
      <w:tr>
        <w:tc>
          <w:tcPr/>
          <w:p>
            <w:pPr>
              <w:pStyle w:val="Compact"/>
              <w:jc w:val="center"/>
            </w:pPr>
            <w:r>
              <w:t xml:space="preserve">MRV</w:t>
            </w:r>
          </w:p>
        </w:tc>
        <w:tc>
          <w:tcPr/>
          <w:p>
            <w:pPr>
              <w:pStyle w:val="Compact"/>
              <w:jc w:val="center"/>
            </w:pPr>
            <w:r>
              <w:t xml:space="preserve">Monitoramento, Reporte e Verificação</w:t>
            </w:r>
          </w:p>
        </w:tc>
      </w:tr>
      <w:tr>
        <w:tc>
          <w:tcPr/>
          <w:p>
            <w:pPr>
              <w:pStyle w:val="Compact"/>
              <w:jc w:val="center"/>
            </w:pPr>
            <w:r>
              <w:t xml:space="preserve">NADSO</w:t>
            </w:r>
          </w:p>
        </w:tc>
        <w:tc>
          <w:tcPr/>
          <w:p>
            <w:pPr>
              <w:pStyle w:val="Compact"/>
              <w:jc w:val="center"/>
            </w:pPr>
            <w:r>
              <w:t xml:space="preserve">Nível Aceitável de Desempenho da Segurança Operacional</w:t>
            </w:r>
          </w:p>
        </w:tc>
      </w:tr>
      <w:tr>
        <w:tc>
          <w:tcPr/>
          <w:p>
            <w:pPr>
              <w:pStyle w:val="Compact"/>
              <w:jc w:val="center"/>
            </w:pPr>
            <w:r>
              <w:t xml:space="preserve">NAV Brasil</w:t>
            </w:r>
          </w:p>
        </w:tc>
        <w:tc>
          <w:tcPr/>
          <w:p>
            <w:pPr>
              <w:pStyle w:val="Compact"/>
              <w:jc w:val="center"/>
            </w:pPr>
            <w:r>
              <w:t xml:space="preserve">Serviços de Navegação Aérea S/A</w:t>
            </w:r>
          </w:p>
        </w:tc>
      </w:tr>
      <w:tr>
        <w:tc>
          <w:tcPr/>
          <w:p>
            <w:pPr>
              <w:pStyle w:val="Compact"/>
              <w:jc w:val="center"/>
            </w:pPr>
            <w:r>
              <w:t xml:space="preserve">NDA</w:t>
            </w:r>
          </w:p>
        </w:tc>
        <w:tc>
          <w:tcPr/>
          <w:p>
            <w:pPr>
              <w:pStyle w:val="Compact"/>
              <w:jc w:val="center"/>
            </w:pPr>
            <w:r>
              <w:t xml:space="preserve">Non Disclosure Agreement / Termo de Confidencialidade</w:t>
            </w:r>
          </w:p>
        </w:tc>
      </w:tr>
      <w:tr>
        <w:tc>
          <w:tcPr/>
          <w:p>
            <w:pPr>
              <w:pStyle w:val="Compact"/>
              <w:jc w:val="center"/>
            </w:pPr>
            <w:r>
              <w:t xml:space="preserve">NP</w:t>
            </w:r>
          </w:p>
        </w:tc>
        <w:tc>
          <w:tcPr/>
          <w:p>
            <w:pPr>
              <w:pStyle w:val="Compact"/>
              <w:jc w:val="center"/>
            </w:pPr>
            <w:r>
              <w:t xml:space="preserve">Nível de Proficiência</w:t>
            </w:r>
          </w:p>
        </w:tc>
      </w:tr>
      <w:tr>
        <w:tc>
          <w:tcPr/>
          <w:p>
            <w:pPr>
              <w:pStyle w:val="Compact"/>
              <w:jc w:val="center"/>
            </w:pPr>
            <w:r>
              <w:t xml:space="preserve">NSCA</w:t>
            </w:r>
          </w:p>
        </w:tc>
        <w:tc>
          <w:tcPr/>
          <w:p>
            <w:pPr>
              <w:pStyle w:val="Compact"/>
              <w:jc w:val="center"/>
            </w:pPr>
            <w:r>
              <w:t xml:space="preserve">Norma de Sistema do Comando da Aeronáutica</w:t>
            </w:r>
          </w:p>
        </w:tc>
      </w:tr>
      <w:tr>
        <w:tc>
          <w:tcPr/>
          <w:p>
            <w:pPr>
              <w:pStyle w:val="Compact"/>
              <w:jc w:val="center"/>
            </w:pPr>
            <w:r>
              <w:t xml:space="preserve">OACI</w:t>
            </w:r>
          </w:p>
        </w:tc>
        <w:tc>
          <w:tcPr/>
          <w:p>
            <w:pPr>
              <w:pStyle w:val="Compact"/>
              <w:jc w:val="center"/>
            </w:pPr>
            <w:r>
              <w:t xml:space="preserve">Organização de Aviação Civil Internacional</w:t>
            </w:r>
          </w:p>
        </w:tc>
      </w:tr>
      <w:tr>
        <w:tc>
          <w:tcPr/>
          <w:p>
            <w:pPr>
              <w:pStyle w:val="Compact"/>
              <w:jc w:val="center"/>
            </w:pPr>
            <w:r>
              <w:t xml:space="preserve">ODIN</w:t>
            </w:r>
          </w:p>
        </w:tc>
        <w:tc>
          <w:tcPr/>
          <w:p>
            <w:pPr>
              <w:pStyle w:val="Compact"/>
              <w:jc w:val="center"/>
            </w:pPr>
            <w:r>
              <w:t xml:space="preserve">Operational Data Integrator</w:t>
            </w:r>
          </w:p>
        </w:tc>
      </w:tr>
      <w:tr>
        <w:tc>
          <w:tcPr/>
          <w:p>
            <w:pPr>
              <w:pStyle w:val="Compact"/>
              <w:jc w:val="center"/>
            </w:pPr>
            <w:r>
              <w:t xml:space="preserve">PBCS</w:t>
            </w:r>
          </w:p>
        </w:tc>
        <w:tc>
          <w:tcPr/>
          <w:p>
            <w:pPr>
              <w:pStyle w:val="Compact"/>
              <w:jc w:val="center"/>
            </w:pPr>
            <w:r>
              <w:t xml:space="preserve">Performance Based Communications and Surveillance</w:t>
            </w:r>
          </w:p>
        </w:tc>
      </w:tr>
      <w:tr>
        <w:tc>
          <w:tcPr/>
          <w:p>
            <w:pPr>
              <w:pStyle w:val="Compact"/>
              <w:jc w:val="center"/>
            </w:pPr>
            <w:r>
              <w:t xml:space="preserve">PCA</w:t>
            </w:r>
          </w:p>
        </w:tc>
        <w:tc>
          <w:tcPr/>
          <w:p>
            <w:pPr>
              <w:pStyle w:val="Compact"/>
              <w:jc w:val="center"/>
            </w:pPr>
            <w:r>
              <w:t xml:space="preserve">Plano do Comando da Aeronáutica</w:t>
            </w:r>
          </w:p>
        </w:tc>
      </w:tr>
      <w:tr>
        <w:tc>
          <w:tcPr/>
          <w:p>
            <w:pPr>
              <w:pStyle w:val="Compact"/>
              <w:jc w:val="center"/>
            </w:pPr>
            <w:r>
              <w:t xml:space="preserve">PCICEA</w:t>
            </w:r>
          </w:p>
        </w:tc>
        <w:tc>
          <w:tcPr/>
          <w:p>
            <w:pPr>
              <w:pStyle w:val="Compact"/>
              <w:jc w:val="center"/>
            </w:pPr>
            <w:r>
              <w:t xml:space="preserve">Plataforma de Compartilhamento das Informações Correntes do Espaço Aéreo</w:t>
            </w:r>
          </w:p>
        </w:tc>
      </w:tr>
      <w:tr>
        <w:tc>
          <w:tcPr/>
          <w:p>
            <w:pPr>
              <w:pStyle w:val="Compact"/>
              <w:jc w:val="center"/>
            </w:pPr>
            <w:r>
              <w:t xml:space="preserve">PFF</w:t>
            </w:r>
          </w:p>
        </w:tc>
        <w:tc>
          <w:tcPr/>
          <w:p>
            <w:pPr>
              <w:pStyle w:val="Compact"/>
              <w:jc w:val="center"/>
            </w:pPr>
            <w:r>
              <w:t xml:space="preserve">Performance Framework Form</w:t>
            </w:r>
          </w:p>
        </w:tc>
      </w:tr>
      <w:tr>
        <w:tc>
          <w:tcPr/>
          <w:p>
            <w:pPr>
              <w:pStyle w:val="Compact"/>
              <w:jc w:val="center"/>
            </w:pPr>
            <w:r>
              <w:t xml:space="preserve">PIMO</w:t>
            </w:r>
          </w:p>
        </w:tc>
        <w:tc>
          <w:tcPr/>
          <w:p>
            <w:pPr>
              <w:pStyle w:val="Compact"/>
              <w:jc w:val="center"/>
            </w:pPr>
            <w:r>
              <w:t xml:space="preserve">Programa de Instrução e Manutenção Operacional</w:t>
            </w:r>
          </w:p>
        </w:tc>
      </w:tr>
      <w:tr>
        <w:tc>
          <w:tcPr/>
          <w:p>
            <w:pPr>
              <w:pStyle w:val="Compact"/>
              <w:jc w:val="center"/>
            </w:pPr>
            <w:r>
              <w:t xml:space="preserve">PNAVSEC</w:t>
            </w:r>
          </w:p>
        </w:tc>
        <w:tc>
          <w:tcPr/>
          <w:p>
            <w:pPr>
              <w:pStyle w:val="Compact"/>
              <w:jc w:val="center"/>
            </w:pPr>
            <w:r>
              <w:t xml:space="preserve">Programa Nacional de Segurança da Aviação Civil Contra Atos de Interferência Ilícita</w:t>
            </w:r>
          </w:p>
        </w:tc>
      </w:tr>
      <w:tr>
        <w:tc>
          <w:tcPr/>
          <w:p>
            <w:pPr>
              <w:pStyle w:val="Compact"/>
              <w:jc w:val="center"/>
            </w:pPr>
            <w:r>
              <w:t xml:space="preserve">PSNA</w:t>
            </w:r>
          </w:p>
        </w:tc>
        <w:tc>
          <w:tcPr/>
          <w:p>
            <w:pPr>
              <w:pStyle w:val="Compact"/>
              <w:jc w:val="center"/>
            </w:pPr>
            <w:r>
              <w:t xml:space="preserve">Provedores de Serviços de Navegação Aérea</w:t>
            </w:r>
          </w:p>
        </w:tc>
      </w:tr>
      <w:tr>
        <w:tc>
          <w:tcPr/>
          <w:p>
            <w:pPr>
              <w:pStyle w:val="Compact"/>
              <w:jc w:val="center"/>
            </w:pPr>
            <w:r>
              <w:t xml:space="preserve">R-AFIS</w:t>
            </w:r>
          </w:p>
        </w:tc>
        <w:tc>
          <w:tcPr/>
          <w:p>
            <w:pPr>
              <w:pStyle w:val="Compact"/>
              <w:jc w:val="center"/>
            </w:pPr>
            <w:r>
              <w:t xml:space="preserve">Órgão AFIS Remoto</w:t>
            </w:r>
          </w:p>
        </w:tc>
      </w:tr>
      <w:tr>
        <w:tc>
          <w:tcPr/>
          <w:p>
            <w:pPr>
              <w:pStyle w:val="Compact"/>
              <w:jc w:val="center"/>
            </w:pPr>
            <w:r>
              <w:t xml:space="preserve">RA</w:t>
            </w:r>
          </w:p>
        </w:tc>
        <w:tc>
          <w:tcPr/>
          <w:p>
            <w:pPr>
              <w:pStyle w:val="Compact"/>
              <w:jc w:val="center"/>
            </w:pPr>
            <w:r>
              <w:t xml:space="preserve">Resolution Advisory</w:t>
            </w:r>
          </w:p>
        </w:tc>
      </w:tr>
      <w:tr>
        <w:tc>
          <w:tcPr/>
          <w:p>
            <w:pPr>
              <w:pStyle w:val="Compact"/>
              <w:jc w:val="center"/>
            </w:pPr>
            <w:r>
              <w:t xml:space="preserve">RE</w:t>
            </w:r>
          </w:p>
        </w:tc>
        <w:tc>
          <w:tcPr/>
          <w:p>
            <w:pPr>
              <w:pStyle w:val="Compact"/>
              <w:jc w:val="center"/>
            </w:pPr>
            <w:r>
              <w:t xml:space="preserve">Runway Excursions</w:t>
            </w:r>
          </w:p>
        </w:tc>
      </w:tr>
      <w:tr>
        <w:tc>
          <w:tcPr/>
          <w:p>
            <w:pPr>
              <w:pStyle w:val="Compact"/>
              <w:jc w:val="center"/>
            </w:pPr>
            <w:r>
              <w:t xml:space="preserve">RELPREV</w:t>
            </w:r>
          </w:p>
        </w:tc>
        <w:tc>
          <w:tcPr/>
          <w:p>
            <w:pPr>
              <w:pStyle w:val="Compact"/>
              <w:jc w:val="center"/>
            </w:pPr>
            <w:r>
              <w:t xml:space="preserve">Relatório de Prevenção</w:t>
            </w:r>
          </w:p>
        </w:tc>
      </w:tr>
      <w:tr>
        <w:tc>
          <w:tcPr/>
          <w:p>
            <w:pPr>
              <w:pStyle w:val="Compact"/>
              <w:jc w:val="center"/>
            </w:pPr>
            <w:r>
              <w:t xml:space="preserve">RI</w:t>
            </w:r>
          </w:p>
        </w:tc>
        <w:tc>
          <w:tcPr/>
          <w:p>
            <w:pPr>
              <w:pStyle w:val="Compact"/>
              <w:jc w:val="center"/>
            </w:pPr>
            <w:r>
              <w:t xml:space="preserve">Runway Incursion</w:t>
            </w:r>
          </w:p>
        </w:tc>
      </w:tr>
      <w:tr>
        <w:tc>
          <w:tcPr/>
          <w:p>
            <w:pPr>
              <w:pStyle w:val="Compact"/>
              <w:jc w:val="center"/>
            </w:pPr>
            <w:r>
              <w:t xml:space="preserve">RICEA</w:t>
            </w:r>
          </w:p>
        </w:tc>
        <w:tc>
          <w:tcPr/>
          <w:p>
            <w:pPr>
              <w:pStyle w:val="Compact"/>
              <w:jc w:val="center"/>
            </w:pPr>
            <w:r>
              <w:t xml:space="preserve">Reporte de Controle do Espaço Aéreo</w:t>
            </w:r>
          </w:p>
        </w:tc>
      </w:tr>
      <w:tr>
        <w:tc>
          <w:tcPr/>
          <w:p>
            <w:pPr>
              <w:pStyle w:val="Compact"/>
              <w:jc w:val="center"/>
            </w:pPr>
            <w:r>
              <w:t xml:space="preserve">ROTAER</w:t>
            </w:r>
          </w:p>
        </w:tc>
        <w:tc>
          <w:tcPr/>
          <w:p>
            <w:pPr>
              <w:pStyle w:val="Compact"/>
              <w:jc w:val="center"/>
            </w:pPr>
            <w:r>
              <w:t xml:space="preserve">Publicação Auxiliar de Rotas Aéreas</w:t>
            </w:r>
          </w:p>
        </w:tc>
      </w:tr>
      <w:tr>
        <w:tc>
          <w:tcPr/>
          <w:p>
            <w:pPr>
              <w:pStyle w:val="Compact"/>
              <w:jc w:val="center"/>
            </w:pPr>
            <w:r>
              <w:t xml:space="preserve">RPAS</w:t>
            </w:r>
          </w:p>
        </w:tc>
        <w:tc>
          <w:tcPr/>
          <w:p>
            <w:pPr>
              <w:pStyle w:val="Compact"/>
              <w:jc w:val="center"/>
            </w:pPr>
            <w:r>
              <w:t xml:space="preserve">Remotely Piloted Aircraft System</w:t>
            </w:r>
          </w:p>
        </w:tc>
      </w:tr>
      <w:tr>
        <w:tc>
          <w:tcPr/>
          <w:p>
            <w:pPr>
              <w:pStyle w:val="Compact"/>
              <w:jc w:val="center"/>
            </w:pPr>
            <w:r>
              <w:t xml:space="preserve">RRSM</w:t>
            </w:r>
          </w:p>
        </w:tc>
        <w:tc>
          <w:tcPr/>
          <w:p>
            <w:pPr>
              <w:pStyle w:val="Compact"/>
              <w:jc w:val="center"/>
            </w:pPr>
            <w:r>
              <w:t xml:space="preserve">Reduced Runway Separation Minima / Separação Reduzidos entre Aeronaves que Utilizam a Mesma Pista</w:t>
            </w:r>
          </w:p>
        </w:tc>
      </w:tr>
      <w:tr>
        <w:tc>
          <w:tcPr/>
          <w:p>
            <w:pPr>
              <w:pStyle w:val="Compact"/>
              <w:jc w:val="center"/>
            </w:pPr>
            <w:r>
              <w:t xml:space="preserve">RSO</w:t>
            </w:r>
          </w:p>
        </w:tc>
        <w:tc>
          <w:tcPr/>
          <w:p>
            <w:pPr>
              <w:pStyle w:val="Compact"/>
              <w:jc w:val="center"/>
            </w:pPr>
            <w:r>
              <w:t xml:space="preserve">Recomendações de Segurança Operacional</w:t>
            </w:r>
          </w:p>
        </w:tc>
      </w:tr>
      <w:tr>
        <w:tc>
          <w:tcPr/>
          <w:p>
            <w:pPr>
              <w:pStyle w:val="Compact"/>
              <w:jc w:val="center"/>
            </w:pPr>
            <w:r>
              <w:t xml:space="preserve">SAF</w:t>
            </w:r>
          </w:p>
        </w:tc>
        <w:tc>
          <w:tcPr/>
          <w:p>
            <w:pPr>
              <w:pStyle w:val="Compact"/>
              <w:jc w:val="center"/>
            </w:pPr>
            <w:r>
              <w:t xml:space="preserve">Sustainable Aviation Fuel</w:t>
            </w:r>
          </w:p>
        </w:tc>
      </w:tr>
      <w:tr>
        <w:tc>
          <w:tcPr/>
          <w:p>
            <w:pPr>
              <w:pStyle w:val="Compact"/>
              <w:jc w:val="center"/>
            </w:pPr>
            <w:r>
              <w:t xml:space="preserve">SAGITARIO</w:t>
            </w:r>
          </w:p>
        </w:tc>
        <w:tc>
          <w:tcPr/>
          <w:p>
            <w:pPr>
              <w:pStyle w:val="Compact"/>
              <w:jc w:val="center"/>
            </w:pPr>
            <w:r>
              <w:t xml:space="preserve">Sistema Avançado de Gerenciamento de Informações de Tráfego Aéreo e Relatório de Interesse Operacional</w:t>
            </w:r>
          </w:p>
        </w:tc>
      </w:tr>
      <w:tr>
        <w:tc>
          <w:tcPr/>
          <w:p>
            <w:pPr>
              <w:pStyle w:val="Compact"/>
              <w:jc w:val="center"/>
            </w:pPr>
            <w:r>
              <w:t xml:space="preserve">SATURNO</w:t>
            </w:r>
          </w:p>
        </w:tc>
        <w:tc>
          <w:tcPr/>
          <w:p>
            <w:pPr>
              <w:pStyle w:val="Compact"/>
              <w:jc w:val="center"/>
            </w:pPr>
            <w:r>
              <w:t xml:space="preserve">Sistema de Apoio ao Tráfego Aéreo na Utilização dos Recursos Humanos para as Necessidades Operacionais</w:t>
            </w:r>
          </w:p>
        </w:tc>
      </w:tr>
      <w:tr>
        <w:tc>
          <w:tcPr/>
          <w:p>
            <w:pPr>
              <w:pStyle w:val="Compact"/>
              <w:jc w:val="center"/>
            </w:pPr>
            <w:r>
              <w:t xml:space="preserve">SDAD</w:t>
            </w:r>
          </w:p>
        </w:tc>
        <w:tc>
          <w:tcPr/>
          <w:p>
            <w:pPr>
              <w:pStyle w:val="Compact"/>
              <w:jc w:val="center"/>
            </w:pPr>
            <w:r>
              <w:t xml:space="preserve">Subdepartamento de Administração</w:t>
            </w:r>
          </w:p>
        </w:tc>
      </w:tr>
      <w:tr>
        <w:tc>
          <w:tcPr/>
          <w:p>
            <w:pPr>
              <w:pStyle w:val="Compact"/>
              <w:jc w:val="center"/>
            </w:pPr>
            <w:r>
              <w:t xml:space="preserve">SDOP</w:t>
            </w:r>
          </w:p>
        </w:tc>
        <w:tc>
          <w:tcPr/>
          <w:p>
            <w:pPr>
              <w:pStyle w:val="Compact"/>
              <w:jc w:val="center"/>
            </w:pPr>
            <w:r>
              <w:t xml:space="preserve">Subdepartamento de Operações</w:t>
            </w:r>
          </w:p>
        </w:tc>
      </w:tr>
      <w:tr>
        <w:tc>
          <w:tcPr/>
          <w:p>
            <w:pPr>
              <w:pStyle w:val="Compact"/>
              <w:jc w:val="center"/>
            </w:pPr>
            <w:r>
              <w:t xml:space="preserve">SDTE</w:t>
            </w:r>
          </w:p>
        </w:tc>
        <w:tc>
          <w:tcPr/>
          <w:p>
            <w:pPr>
              <w:pStyle w:val="Compact"/>
              <w:jc w:val="center"/>
            </w:pPr>
            <w:r>
              <w:t xml:space="preserve">Subdepartamento Técnico</w:t>
            </w:r>
          </w:p>
        </w:tc>
      </w:tr>
      <w:tr>
        <w:tc>
          <w:tcPr/>
          <w:p>
            <w:pPr>
              <w:pStyle w:val="Compact"/>
              <w:jc w:val="center"/>
            </w:pPr>
            <w:r>
              <w:t xml:space="preserve">SETA</w:t>
            </w:r>
          </w:p>
        </w:tc>
        <w:tc>
          <w:tcPr/>
          <w:p>
            <w:pPr>
              <w:pStyle w:val="Compact"/>
              <w:jc w:val="center"/>
            </w:pPr>
            <w:r>
              <w:t xml:space="preserve">Sistema Estatístico de Tráfego Aéreo</w:t>
            </w:r>
          </w:p>
        </w:tc>
      </w:tr>
      <w:tr>
        <w:tc>
          <w:tcPr/>
          <w:p>
            <w:pPr>
              <w:pStyle w:val="Compact"/>
              <w:jc w:val="center"/>
            </w:pPr>
            <w:r>
              <w:t xml:space="preserve">SGPO</w:t>
            </w:r>
          </w:p>
        </w:tc>
        <w:tc>
          <w:tcPr/>
          <w:p>
            <w:pPr>
              <w:pStyle w:val="Compact"/>
              <w:jc w:val="center"/>
            </w:pPr>
            <w:r>
              <w:t xml:space="preserve">Sistema de Gerenciamento de Pessoal Operacional</w:t>
            </w:r>
          </w:p>
        </w:tc>
      </w:tr>
      <w:tr>
        <w:tc>
          <w:tcPr/>
          <w:p>
            <w:pPr>
              <w:pStyle w:val="Compact"/>
              <w:jc w:val="center"/>
            </w:pPr>
            <w:r>
              <w:t xml:space="preserve">SIATFM</w:t>
            </w:r>
          </w:p>
        </w:tc>
        <w:tc>
          <w:tcPr/>
          <w:p>
            <w:pPr>
              <w:pStyle w:val="Compact"/>
              <w:jc w:val="center"/>
            </w:pPr>
            <w:r>
              <w:t xml:space="preserve">Sistema de Informações ATFM</w:t>
            </w:r>
          </w:p>
        </w:tc>
      </w:tr>
      <w:tr>
        <w:tc>
          <w:tcPr/>
          <w:p>
            <w:pPr>
              <w:pStyle w:val="Compact"/>
              <w:jc w:val="center"/>
            </w:pPr>
            <w:r>
              <w:t xml:space="preserve">SIBT</w:t>
            </w:r>
          </w:p>
        </w:tc>
        <w:tc>
          <w:tcPr/>
          <w:p>
            <w:pPr>
              <w:pStyle w:val="Compact"/>
              <w:jc w:val="center"/>
            </w:pPr>
            <w:r>
              <w:t xml:space="preserve">Scheduled In-Block Time</w:t>
            </w:r>
          </w:p>
        </w:tc>
      </w:tr>
      <w:tr>
        <w:tc>
          <w:tcPr/>
          <w:p>
            <w:pPr>
              <w:pStyle w:val="Compact"/>
              <w:jc w:val="center"/>
            </w:pPr>
            <w:r>
              <w:t xml:space="preserve">SIGAVSEC</w:t>
            </w:r>
          </w:p>
        </w:tc>
        <w:tc>
          <w:tcPr/>
          <w:p>
            <w:pPr>
              <w:pStyle w:val="Compact"/>
              <w:jc w:val="center"/>
            </w:pPr>
            <w:r>
              <w:t xml:space="preserve">Sistema Integrado de Gestão Aviation Security</w:t>
            </w:r>
          </w:p>
        </w:tc>
      </w:tr>
      <w:tr>
        <w:tc>
          <w:tcPr/>
          <w:p>
            <w:pPr>
              <w:pStyle w:val="Compact"/>
              <w:jc w:val="center"/>
            </w:pPr>
            <w:r>
              <w:t xml:space="preserve">SIGCEA</w:t>
            </w:r>
          </w:p>
        </w:tc>
        <w:tc>
          <w:tcPr/>
          <w:p>
            <w:pPr>
              <w:pStyle w:val="Compact"/>
              <w:jc w:val="center"/>
            </w:pPr>
            <w:r>
              <w:t xml:space="preserve">Sistema de Informações Gerenciais do Subsistema de Segurança Operacional no Controle do Espaço Aéreo.</w:t>
            </w:r>
          </w:p>
        </w:tc>
      </w:tr>
      <w:tr>
        <w:tc>
          <w:tcPr/>
          <w:p>
            <w:pPr>
              <w:pStyle w:val="Compact"/>
              <w:jc w:val="center"/>
            </w:pPr>
            <w:r>
              <w:t xml:space="preserve">SIGMA</w:t>
            </w:r>
          </w:p>
        </w:tc>
        <w:tc>
          <w:tcPr/>
          <w:p>
            <w:pPr>
              <w:pStyle w:val="Compact"/>
              <w:jc w:val="center"/>
            </w:pPr>
            <w:r>
              <w:t xml:space="preserve">Sistema Integrado de Gestão de Movimentos Aéreos</w:t>
            </w:r>
          </w:p>
        </w:tc>
      </w:tr>
      <w:tr>
        <w:tc>
          <w:tcPr/>
          <w:p>
            <w:pPr>
              <w:pStyle w:val="Compact"/>
              <w:jc w:val="center"/>
            </w:pPr>
            <w:r>
              <w:t xml:space="preserve">SIPACEA</w:t>
            </w:r>
          </w:p>
        </w:tc>
        <w:tc>
          <w:tcPr/>
          <w:p>
            <w:pPr>
              <w:pStyle w:val="Compact"/>
              <w:jc w:val="center"/>
            </w:pPr>
            <w:r>
              <w:t xml:space="preserve">Seção de Investigação e Prevenção de Acidentes/Incidentes do Controle do Espaço Aéreo.</w:t>
            </w:r>
          </w:p>
        </w:tc>
      </w:tr>
      <w:tr>
        <w:tc>
          <w:tcPr/>
          <w:p>
            <w:pPr>
              <w:pStyle w:val="Compact"/>
              <w:jc w:val="center"/>
            </w:pPr>
            <w:r>
              <w:t xml:space="preserve">SIRESANT</w:t>
            </w:r>
          </w:p>
        </w:tc>
        <w:tc>
          <w:tcPr/>
          <w:p>
            <w:pPr>
              <w:pStyle w:val="Compact"/>
              <w:jc w:val="center"/>
            </w:pPr>
            <w:r>
              <w:t xml:space="preserve">Simpósio Regional sobre Sistemas de Aeronaves Não Tripuladas</w:t>
            </w:r>
          </w:p>
        </w:tc>
      </w:tr>
      <w:tr>
        <w:tc>
          <w:tcPr/>
          <w:p>
            <w:pPr>
              <w:pStyle w:val="Compact"/>
              <w:jc w:val="center"/>
            </w:pPr>
            <w:r>
              <w:t xml:space="preserve">SIROS</w:t>
            </w:r>
          </w:p>
        </w:tc>
        <w:tc>
          <w:tcPr/>
          <w:p>
            <w:pPr>
              <w:pStyle w:val="Compact"/>
              <w:jc w:val="center"/>
            </w:pPr>
            <w:r>
              <w:t xml:space="preserve">Sistema de Registro de Operações</w:t>
            </w:r>
          </w:p>
        </w:tc>
      </w:tr>
      <w:tr>
        <w:tc>
          <w:tcPr/>
          <w:p>
            <w:pPr>
              <w:pStyle w:val="Compact"/>
              <w:jc w:val="center"/>
            </w:pPr>
            <w:r>
              <w:t xml:space="preserve">SISCEAB</w:t>
            </w:r>
          </w:p>
        </w:tc>
        <w:tc>
          <w:tcPr/>
          <w:p>
            <w:pPr>
              <w:pStyle w:val="Compact"/>
              <w:jc w:val="center"/>
            </w:pPr>
            <w:r>
              <w:t xml:space="preserve">Sistema de Controle do Espaço Aéreo Brasileiro</w:t>
            </w:r>
          </w:p>
        </w:tc>
      </w:tr>
      <w:tr>
        <w:tc>
          <w:tcPr/>
          <w:p>
            <w:pPr>
              <w:pStyle w:val="Compact"/>
              <w:jc w:val="center"/>
            </w:pPr>
            <w:r>
              <w:t xml:space="preserve">SNA</w:t>
            </w:r>
          </w:p>
        </w:tc>
        <w:tc>
          <w:tcPr/>
          <w:p>
            <w:pPr>
              <w:pStyle w:val="Compact"/>
              <w:jc w:val="center"/>
            </w:pPr>
            <w:r>
              <w:t xml:space="preserve">Serviço de Navegação Aérea</w:t>
            </w:r>
          </w:p>
        </w:tc>
      </w:tr>
      <w:tr>
        <w:tc>
          <w:tcPr/>
          <w:p>
            <w:pPr>
              <w:pStyle w:val="Compact"/>
              <w:jc w:val="center"/>
            </w:pPr>
            <w:r>
              <w:t xml:space="preserve">SOBT</w:t>
            </w:r>
          </w:p>
        </w:tc>
        <w:tc>
          <w:tcPr/>
          <w:p>
            <w:pPr>
              <w:pStyle w:val="Compact"/>
              <w:jc w:val="center"/>
            </w:pPr>
            <w:r>
              <w:t xml:space="preserve">Scheduled Off-Block Time</w:t>
            </w:r>
          </w:p>
        </w:tc>
      </w:tr>
      <w:tr>
        <w:tc>
          <w:tcPr/>
          <w:p>
            <w:pPr>
              <w:pStyle w:val="Compact"/>
              <w:jc w:val="center"/>
            </w:pPr>
            <w:r>
              <w:t xml:space="preserve">SOT</w:t>
            </w:r>
          </w:p>
        </w:tc>
        <w:tc>
          <w:tcPr/>
          <w:p>
            <w:pPr>
              <w:pStyle w:val="Compact"/>
              <w:jc w:val="center"/>
            </w:pPr>
            <w:r>
              <w:t xml:space="preserve">Tabela de Abertura de Setores (Sector Opening Table)</w:t>
            </w:r>
          </w:p>
        </w:tc>
      </w:tr>
      <w:tr>
        <w:tc>
          <w:tcPr/>
          <w:p>
            <w:pPr>
              <w:pStyle w:val="Compact"/>
              <w:jc w:val="center"/>
            </w:pPr>
            <w:r>
              <w:t xml:space="preserve">SPECI</w:t>
            </w:r>
          </w:p>
        </w:tc>
        <w:tc>
          <w:tcPr/>
          <w:p>
            <w:pPr>
              <w:pStyle w:val="Compact"/>
              <w:jc w:val="center"/>
            </w:pPr>
            <w:r>
              <w:t xml:space="preserve">Special Report</w:t>
            </w:r>
          </w:p>
        </w:tc>
      </w:tr>
      <w:tr>
        <w:tc>
          <w:tcPr/>
          <w:p>
            <w:pPr>
              <w:pStyle w:val="Compact"/>
              <w:jc w:val="center"/>
            </w:pPr>
            <w:r>
              <w:t xml:space="preserve">TAF</w:t>
            </w:r>
          </w:p>
        </w:tc>
        <w:tc>
          <w:tcPr/>
          <w:p>
            <w:pPr>
              <w:pStyle w:val="Compact"/>
              <w:jc w:val="center"/>
            </w:pPr>
            <w:r>
              <w:t xml:space="preserve">Terminal Aerodrome Forecast</w:t>
            </w:r>
          </w:p>
        </w:tc>
      </w:tr>
      <w:tr>
        <w:tc>
          <w:tcPr/>
          <w:p>
            <w:pPr>
              <w:pStyle w:val="Compact"/>
              <w:jc w:val="center"/>
            </w:pPr>
            <w:r>
              <w:t xml:space="preserve">TATIC</w:t>
            </w:r>
          </w:p>
        </w:tc>
        <w:tc>
          <w:tcPr/>
          <w:p>
            <w:pPr>
              <w:pStyle w:val="Compact"/>
              <w:jc w:val="center"/>
            </w:pPr>
            <w:r>
              <w:t xml:space="preserve">Total Air Traffic Information Control</w:t>
            </w:r>
          </w:p>
        </w:tc>
      </w:tr>
      <w:tr>
        <w:tc>
          <w:tcPr/>
          <w:p>
            <w:pPr>
              <w:pStyle w:val="Compact"/>
              <w:jc w:val="center"/>
            </w:pPr>
            <w:r>
              <w:t xml:space="preserve">TBO</w:t>
            </w:r>
          </w:p>
        </w:tc>
        <w:tc>
          <w:tcPr/>
          <w:p>
            <w:pPr>
              <w:pStyle w:val="Compact"/>
              <w:jc w:val="center"/>
            </w:pPr>
            <w:r>
              <w:t xml:space="preserve">Trajectory Based Operations / Operações Baseadas em Trajetória</w:t>
            </w:r>
          </w:p>
        </w:tc>
      </w:tr>
      <w:tr>
        <w:tc>
          <w:tcPr/>
          <w:p>
            <w:pPr>
              <w:pStyle w:val="Compact"/>
              <w:jc w:val="center"/>
            </w:pPr>
            <w:r>
              <w:t xml:space="preserve">TCAS</w:t>
            </w:r>
          </w:p>
        </w:tc>
        <w:tc>
          <w:tcPr/>
          <w:p>
            <w:pPr>
              <w:pStyle w:val="Compact"/>
              <w:jc w:val="center"/>
            </w:pPr>
            <w:r>
              <w:t xml:space="preserve">Traffic Alert and Collision Avoidance System</w:t>
            </w:r>
          </w:p>
        </w:tc>
      </w:tr>
      <w:tr>
        <w:tc>
          <w:tcPr/>
          <w:p>
            <w:pPr>
              <w:pStyle w:val="Compact"/>
              <w:jc w:val="center"/>
            </w:pPr>
            <w:r>
              <w:t xml:space="preserve">TMA</w:t>
            </w:r>
          </w:p>
        </w:tc>
        <w:tc>
          <w:tcPr/>
          <w:p>
            <w:pPr>
              <w:pStyle w:val="Compact"/>
              <w:jc w:val="center"/>
            </w:pPr>
            <w:r>
              <w:t xml:space="preserve">Área de Controle Terminal</w:t>
            </w:r>
          </w:p>
        </w:tc>
      </w:tr>
      <w:tr>
        <w:tc>
          <w:tcPr/>
          <w:p>
            <w:pPr>
              <w:pStyle w:val="Compact"/>
              <w:jc w:val="center"/>
            </w:pPr>
            <w:r>
              <w:t xml:space="preserve">TOD</w:t>
            </w:r>
          </w:p>
        </w:tc>
        <w:tc>
          <w:tcPr/>
          <w:p>
            <w:pPr>
              <w:pStyle w:val="Compact"/>
              <w:jc w:val="center"/>
            </w:pPr>
            <w:r>
              <w:t xml:space="preserve">Top of Descent</w:t>
            </w:r>
          </w:p>
        </w:tc>
      </w:tr>
      <w:tr>
        <w:tc>
          <w:tcPr/>
          <w:p>
            <w:pPr>
              <w:pStyle w:val="Compact"/>
              <w:jc w:val="center"/>
            </w:pPr>
            <w:r>
              <w:t xml:space="preserve">TWR</w:t>
            </w:r>
          </w:p>
        </w:tc>
        <w:tc>
          <w:tcPr/>
          <w:p>
            <w:pPr>
              <w:pStyle w:val="Compact"/>
              <w:jc w:val="center"/>
            </w:pPr>
            <w:r>
              <w:t xml:space="preserve">Torre de Controle de Aeródromo</w:t>
            </w:r>
          </w:p>
        </w:tc>
      </w:tr>
      <w:tr>
        <w:tc>
          <w:tcPr/>
          <w:p>
            <w:pPr>
              <w:pStyle w:val="Compact"/>
              <w:jc w:val="center"/>
            </w:pPr>
            <w:r>
              <w:t xml:space="preserve">UAM</w:t>
            </w:r>
          </w:p>
        </w:tc>
        <w:tc>
          <w:tcPr/>
          <w:p>
            <w:pPr>
              <w:pStyle w:val="Compact"/>
              <w:jc w:val="center"/>
            </w:pPr>
            <w:r>
              <w:t xml:space="preserve">Urban Air Mobility</w:t>
            </w:r>
          </w:p>
        </w:tc>
      </w:tr>
      <w:tr>
        <w:tc>
          <w:tcPr/>
          <w:p>
            <w:pPr>
              <w:pStyle w:val="Compact"/>
              <w:jc w:val="center"/>
            </w:pPr>
            <w:r>
              <w:t xml:space="preserve">UAS</w:t>
            </w:r>
          </w:p>
        </w:tc>
        <w:tc>
          <w:tcPr/>
          <w:p>
            <w:pPr>
              <w:pStyle w:val="Compact"/>
              <w:jc w:val="center"/>
            </w:pPr>
            <w:r>
              <w:t xml:space="preserve">Unmanned Aircraft System</w:t>
            </w:r>
          </w:p>
        </w:tc>
      </w:tr>
      <w:tr>
        <w:tc>
          <w:tcPr/>
          <w:p>
            <w:pPr>
              <w:pStyle w:val="Compact"/>
              <w:jc w:val="center"/>
            </w:pPr>
            <w:r>
              <w:t xml:space="preserve">UML</w:t>
            </w:r>
          </w:p>
        </w:tc>
        <w:tc>
          <w:tcPr/>
          <w:p>
            <w:pPr>
              <w:pStyle w:val="Compact"/>
              <w:jc w:val="center"/>
            </w:pPr>
            <w:r>
              <w:t xml:space="preserve">UAM Maturity Level</w:t>
            </w:r>
          </w:p>
        </w:tc>
      </w:tr>
      <w:tr>
        <w:tc>
          <w:tcPr/>
          <w:p>
            <w:pPr>
              <w:pStyle w:val="Compact"/>
              <w:jc w:val="center"/>
            </w:pPr>
            <w:r>
              <w:t xml:space="preserve">UTM</w:t>
            </w:r>
          </w:p>
        </w:tc>
        <w:tc>
          <w:tcPr/>
          <w:p>
            <w:pPr>
              <w:pStyle w:val="Compact"/>
              <w:jc w:val="center"/>
            </w:pPr>
            <w:r>
              <w:t xml:space="preserve">Unmanned Traffic Management</w:t>
            </w:r>
          </w:p>
        </w:tc>
      </w:tr>
      <w:tr>
        <w:tc>
          <w:tcPr/>
          <w:p>
            <w:pPr>
              <w:pStyle w:val="Compact"/>
              <w:jc w:val="center"/>
            </w:pPr>
            <w:r>
              <w:t xml:space="preserve">VFR</w:t>
            </w:r>
          </w:p>
        </w:tc>
        <w:tc>
          <w:tcPr/>
          <w:p>
            <w:pPr>
              <w:pStyle w:val="Compact"/>
              <w:jc w:val="center"/>
            </w:pPr>
            <w:r>
              <w:t xml:space="preserve">Visual Flight Rules</w:t>
            </w:r>
          </w:p>
        </w:tc>
      </w:tr>
      <w:tr>
        <w:tc>
          <w:tcPr/>
          <w:p>
            <w:pPr>
              <w:pStyle w:val="Compact"/>
              <w:jc w:val="center"/>
            </w:pPr>
            <w:r>
              <w:t xml:space="preserve">VLL</w:t>
            </w:r>
          </w:p>
        </w:tc>
        <w:tc>
          <w:tcPr/>
          <w:p>
            <w:pPr>
              <w:pStyle w:val="Compact"/>
              <w:jc w:val="center"/>
            </w:pPr>
            <w:r>
              <w:t xml:space="preserve">Very Low Level</w:t>
            </w:r>
          </w:p>
        </w:tc>
      </w:tr>
      <w:tr>
        <w:tc>
          <w:tcPr/>
          <w:p>
            <w:pPr>
              <w:pStyle w:val="Compact"/>
              <w:jc w:val="center"/>
            </w:pPr>
            <w:r>
              <w:t xml:space="preserve">VMC</w:t>
            </w:r>
          </w:p>
        </w:tc>
        <w:tc>
          <w:tcPr/>
          <w:p>
            <w:pPr>
              <w:pStyle w:val="Compact"/>
              <w:jc w:val="center"/>
            </w:pPr>
            <w:r>
              <w:t xml:space="preserve">Condições meteorológicas de voo visual</w:t>
            </w:r>
          </w:p>
        </w:tc>
      </w:tr>
      <w:tr>
        <w:tc>
          <w:tcPr/>
          <w:p>
            <w:pPr>
              <w:pStyle w:val="Compact"/>
              <w:jc w:val="center"/>
            </w:pPr>
            <w:r>
              <w:t xml:space="preserve">VRA</w:t>
            </w:r>
          </w:p>
        </w:tc>
        <w:tc>
          <w:tcPr/>
          <w:p>
            <w:pPr>
              <w:pStyle w:val="Compact"/>
              <w:jc w:val="center"/>
            </w:pPr>
            <w:r>
              <w:t xml:space="preserve">Voo Regular Ativo</w:t>
            </w:r>
          </w:p>
        </w:tc>
      </w:tr>
    </w:tbl>
    <w:bookmarkEnd w:id="502"/>
    <w:sectPr w:rsidR="004044EA" w:rsidSect="008D5523">
      <w:pgSz w:h="16838" w:w="11906"/>
      <w:pgMar w:bottom="720" w:footer="567" w:gutter="0" w:header="567"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abstractNum w15:restartNumberingAfterBreak="0" w:abstractNumId="0">
    <w:nsid w:val="FFFFFF7C"/>
    <w:multiLevelType w:val="singleLevel"/>
    <w:tmpl w:val="C310EC42"/>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E4089024"/>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FB12693A"/>
    <w:lvl w:ilvl="0">
      <w:start w:val="1"/>
      <w:numFmt w:val="decimal"/>
      <w:pStyle w:val="Numerada3"/>
      <w:lvlText w:val="%1."/>
      <w:lvlJc w:val="left"/>
      <w:pPr>
        <w:tabs>
          <w:tab w:pos="1080" w:val="num"/>
        </w:tabs>
        <w:ind w:hanging="360" w:left="1080"/>
      </w:pPr>
    </w:lvl>
  </w:abstractNum>
  <w:abstractNum w15:restartNumberingAfterBreak="0" w:abstractNumId="3">
    <w:nsid w:val="FFFFFF7F"/>
    <w:multiLevelType w:val="singleLevel"/>
    <w:tmpl w:val="38441652"/>
    <w:lvl w:ilvl="0">
      <w:start w:val="1"/>
      <w:numFmt w:val="decimal"/>
      <w:pStyle w:val="Numerada2"/>
      <w:lvlText w:val="%1."/>
      <w:lvlJc w:val="left"/>
      <w:pPr>
        <w:tabs>
          <w:tab w:pos="720" w:val="num"/>
        </w:tabs>
        <w:ind w:hanging="360" w:left="720"/>
      </w:pPr>
    </w:lvl>
  </w:abstractNum>
  <w:abstractNum w15:restartNumberingAfterBreak="0"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15:restartNumberingAfterBreak="0" w:abstractNumId="5">
    <w:nsid w:val="FFFFFF82"/>
    <w:multiLevelType w:val="singleLevel"/>
    <w:tmpl w:val="F3EAFDEC"/>
    <w:lvl w:ilvl="0">
      <w:start w:val="1"/>
      <w:numFmt w:val="bullet"/>
      <w:pStyle w:val="Commarcadores3"/>
      <w:lvlText w:val=""/>
      <w:lvlJc w:val="left"/>
      <w:pPr>
        <w:tabs>
          <w:tab w:pos="1080" w:val="num"/>
        </w:tabs>
        <w:ind w:hanging="360" w:left="1080"/>
      </w:pPr>
      <w:rPr>
        <w:rFonts w:ascii="Symbol" w:hAnsi="Symbol" w:hint="default"/>
      </w:rPr>
    </w:lvl>
  </w:abstractNum>
  <w:abstractNum w15:restartNumberingAfterBreak="0" w:abstractNumId="6">
    <w:nsid w:val="FFFFFF83"/>
    <w:multiLevelType w:val="singleLevel"/>
    <w:tmpl w:val="3D1EFFD4"/>
    <w:lvl w:ilvl="0">
      <w:start w:val="1"/>
      <w:numFmt w:val="bullet"/>
      <w:pStyle w:val="Commarcadores2"/>
      <w:lvlText w:val=""/>
      <w:lvlJc w:val="left"/>
      <w:pPr>
        <w:tabs>
          <w:tab w:pos="720" w:val="num"/>
        </w:tabs>
        <w:ind w:hanging="360" w:left="720"/>
      </w:pPr>
      <w:rPr>
        <w:rFonts w:ascii="Symbol" w:hAnsi="Symbol" w:hint="default"/>
      </w:rPr>
    </w:lvl>
  </w:abstractNum>
  <w:abstractNum w15:restartNumberingAfterBreak="0" w:abstractNumId="7">
    <w:nsid w:val="FFFFFF88"/>
    <w:multiLevelType w:val="singleLevel"/>
    <w:tmpl w:val="D0A62B40"/>
    <w:lvl w:ilvl="0">
      <w:start w:val="1"/>
      <w:numFmt w:val="decimal"/>
      <w:pStyle w:val="Numerada"/>
      <w:lvlText w:val="%1."/>
      <w:lvlJc w:val="left"/>
      <w:pPr>
        <w:tabs>
          <w:tab w:pos="360" w:val="num"/>
        </w:tabs>
        <w:ind w:hanging="360" w:left="360"/>
      </w:pPr>
    </w:lvl>
  </w:abstractNum>
  <w:abstractNum w15:restartNumberingAfterBreak="0" w:abstractNumId="8">
    <w:nsid w:val="FFFFFF89"/>
    <w:multiLevelType w:val="singleLevel"/>
    <w:tmpl w:val="29761A62"/>
    <w:lvl w:ilvl="0">
      <w:start w:val="1"/>
      <w:numFmt w:val="bullet"/>
      <w:pStyle w:val="Commarcadores"/>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044EA"/>
    <w:rsid w:val="008D5523"/>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mc:Ignorable="w14 w15 w16se w16cid w16 w16cex">
  <w:docDefaults>
    <w:rPrDefault>
      <w:rPr>
        <w:rFonts w:asciiTheme="minorHAnsi" w:cstheme="minorBidi" w:eastAsiaTheme="minorEastAsia" w:hAnsiTheme="minorHAnsi"/>
        <w:sz w:val="22"/>
        <w:szCs w:val="22"/>
        <w:lang w:bidi="ar-SA" w:eastAsia="en-US" w:val="pt"/>
      </w:rPr>
    </w:rPrDefault>
    <w:pPrDefault>
      <w:pPr>
        <w:spacing w:after="200" w:line="276" w:lineRule="auto"/>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FC693F"/>
    <w:rPr>
      <w:rFonts w:ascii="Arial" w:eastAsia="Arial" w:hAnsi="Arial"/>
      <w:sz w:val="20"/>
    </w:rPr>
  </w:style>
  <w:style w:styleId="Ttulo1" w:type="paragraph">
    <w:name w:val="heading 1"/>
    <w:basedOn w:val="Normal"/>
    <w:next w:val="Normal"/>
    <w:link w:val="Ttulo1Char"/>
    <w:uiPriority w:val="9"/>
    <w:qFormat/>
    <w:rsid w:val="00FC693F"/>
    <w:pPr>
      <w:keepNext/>
      <w:keepLines/>
      <w:spacing w:after="0" w:before="480"/>
      <w:outlineLvl w:val="0"/>
    </w:pPr>
    <w:rPr>
      <w:rFonts w:asciiTheme="majorHAnsi" w:cstheme="majorBidi" w:eastAsiaTheme="majorEastAsia" w:hAnsiTheme="majorHAnsi"/>
      <w:b/>
      <w:bCs/>
      <w:color w:themeColor="accent1" w:themeShade="BF" w:val="365F91"/>
      <w:sz w:val="30"/>
      <w:szCs w:val="28"/>
    </w:rPr>
  </w:style>
  <w:style w:styleId="Ttulo2" w:type="paragraph">
    <w:name w:val="heading 2"/>
    <w:basedOn w:val="Normal"/>
    <w:next w:val="Normal"/>
    <w:link w:val="Ttulo2Char"/>
    <w:uiPriority w:val="9"/>
    <w:unhideWhenUsed/>
    <w:qFormat/>
    <w:rsid w:val="00FC693F"/>
    <w:pPr>
      <w:keepNext/>
      <w:keepLines/>
      <w:spacing w:after="0" w:before="200"/>
      <w:outlineLvl w:val="1"/>
    </w:pPr>
    <w:rPr>
      <w:rFonts w:asciiTheme="majorHAnsi" w:cstheme="majorBidi" w:eastAsiaTheme="majorEastAsia" w:hAnsiTheme="majorHAnsi"/>
      <w:b/>
      <w:bCs/>
      <w:color w:themeColor="accent1" w:val="4F81BD"/>
      <w:sz w:val="26"/>
      <w:szCs w:val="26"/>
    </w:rPr>
  </w:style>
  <w:style w:styleId="Ttulo3" w:type="paragraph">
    <w:name w:val="heading 3"/>
    <w:basedOn w:val="Normal"/>
    <w:next w:val="Normal"/>
    <w:link w:val="Ttulo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sz w:val="22"/>
    </w:rPr>
  </w:style>
  <w:style w:styleId="Ttulo4" w:type="paragraph">
    <w:name w:val="heading 4"/>
    <w:basedOn w:val="Normal"/>
    <w:next w:val="Normal"/>
    <w:link w:val="Ttulo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Ttulo5" w:type="paragraph">
    <w:name w:val="heading 5"/>
    <w:basedOn w:val="Normal"/>
    <w:next w:val="Normal"/>
    <w:link w:val="Ttulo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Ttulo6" w:type="paragraph">
    <w:name w:val="heading 6"/>
    <w:basedOn w:val="Normal"/>
    <w:next w:val="Normal"/>
    <w:link w:val="Ttulo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Ttulo7" w:type="paragraph">
    <w:name w:val="heading 7"/>
    <w:basedOn w:val="Normal"/>
    <w:next w:val="Normal"/>
    <w:link w:val="Ttulo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Ttulo8" w:type="paragraph">
    <w:name w:val="heading 8"/>
    <w:basedOn w:val="Normal"/>
    <w:next w:val="Normal"/>
    <w:link w:val="Ttulo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Cs w:val="20"/>
    </w:rPr>
  </w:style>
  <w:style w:styleId="Ttulo9" w:type="paragraph">
    <w:name w:val="heading 9"/>
    <w:basedOn w:val="Normal"/>
    <w:next w:val="Normal"/>
    <w:link w:val="Ttulo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Cs w:val="20"/>
    </w:rPr>
  </w:style>
  <w:style w:default="1" w:styleId="Fontepargpadro" w:type="character">
    <w:name w:val="Default Paragraph Font"/>
    <w:uiPriority w:val="1"/>
    <w:semiHidden/>
    <w:unhideWhenUsed/>
  </w:style>
  <w:style w:default="1" w:styleId="Tabelanormal" w:type="table">
    <w:name w:val="Normal Table"/>
    <w:uiPriority w:val="99"/>
    <w:semiHidden/>
    <w:unhideWhenUsed/>
    <w:tblPr>
      <w:tblInd w:type="dxa" w:w="0"/>
      <w:tblCellMar>
        <w:top w:type="dxa" w:w="0"/>
        <w:left w:type="dxa" w:w="108"/>
        <w:bottom w:type="dxa" w:w="0"/>
        <w:right w:type="dxa" w:w="108"/>
      </w:tblCellMar>
    </w:tblPr>
  </w:style>
  <w:style w:default="1" w:styleId="Semlista" w:type="numbering">
    <w:name w:val="No List"/>
    <w:uiPriority w:val="99"/>
    <w:semiHidden/>
    <w:unhideWhenUsed/>
  </w:style>
  <w:style w:styleId="Cabealho" w:type="paragraph">
    <w:name w:val="header"/>
    <w:basedOn w:val="Normal"/>
    <w:link w:val="CabealhoChar"/>
    <w:uiPriority w:val="99"/>
    <w:unhideWhenUsed/>
    <w:rsid w:val="00E618BF"/>
    <w:pPr>
      <w:tabs>
        <w:tab w:pos="4680" w:val="center"/>
        <w:tab w:pos="9360" w:val="right"/>
      </w:tabs>
      <w:spacing w:after="0" w:line="240" w:lineRule="auto"/>
    </w:pPr>
  </w:style>
  <w:style w:customStyle="1" w:styleId="CabealhoChar" w:type="character">
    <w:name w:val="Cabeçalho Char"/>
    <w:basedOn w:val="Fontepargpadro"/>
    <w:link w:val="Cabealho"/>
    <w:uiPriority w:val="99"/>
    <w:rsid w:val="00E618BF"/>
  </w:style>
  <w:style w:styleId="Rodap" w:type="paragraph">
    <w:name w:val="footer"/>
    <w:basedOn w:val="Normal"/>
    <w:link w:val="RodapChar"/>
    <w:uiPriority w:val="99"/>
    <w:unhideWhenUsed/>
    <w:rsid w:val="00E618BF"/>
    <w:pPr>
      <w:tabs>
        <w:tab w:pos="4680" w:val="center"/>
        <w:tab w:pos="9360" w:val="right"/>
      </w:tabs>
      <w:spacing w:after="0" w:line="240" w:lineRule="auto"/>
    </w:pPr>
  </w:style>
  <w:style w:customStyle="1" w:styleId="RodapChar" w:type="character">
    <w:name w:val="Rodapé Char"/>
    <w:basedOn w:val="Fontepargpadro"/>
    <w:link w:val="Rodap"/>
    <w:uiPriority w:val="99"/>
    <w:rsid w:val="00E618BF"/>
  </w:style>
  <w:style w:styleId="SemEspaamento" w:type="paragraph">
    <w:name w:val="No Spacing"/>
    <w:uiPriority w:val="1"/>
    <w:qFormat/>
    <w:rsid w:val="00FC693F"/>
    <w:pPr>
      <w:spacing w:after="0" w:line="240" w:lineRule="auto"/>
    </w:pPr>
  </w:style>
  <w:style w:customStyle="1" w:styleId="Ttulo1Char" w:type="character">
    <w:name w:val="Título 1 Char"/>
    <w:basedOn w:val="Fontepargpadro"/>
    <w:link w:val="Ttulo1"/>
    <w:uiPriority w:val="9"/>
    <w:rsid w:val="00FC693F"/>
    <w:rPr>
      <w:rFonts w:asciiTheme="majorHAnsi" w:cstheme="majorBidi" w:eastAsiaTheme="majorEastAsia" w:hAnsiTheme="majorHAnsi"/>
      <w:b/>
      <w:bCs/>
      <w:color w:themeColor="accent1" w:themeShade="BF" w:val="365F91"/>
      <w:sz w:val="28"/>
      <w:szCs w:val="28"/>
    </w:rPr>
  </w:style>
  <w:style w:customStyle="1" w:styleId="Ttulo2Char" w:type="character">
    <w:name w:val="Título 2 Char"/>
    <w:basedOn w:val="Fontepargpadro"/>
    <w:link w:val="Ttulo2"/>
    <w:uiPriority w:val="9"/>
    <w:rsid w:val="00FC693F"/>
    <w:rPr>
      <w:rFonts w:asciiTheme="majorHAnsi" w:cstheme="majorBidi" w:eastAsiaTheme="majorEastAsia" w:hAnsiTheme="majorHAnsi"/>
      <w:b/>
      <w:bCs/>
      <w:color w:themeColor="accent1" w:val="4F81BD"/>
      <w:sz w:val="26"/>
      <w:szCs w:val="26"/>
    </w:rPr>
  </w:style>
  <w:style w:customStyle="1" w:styleId="Ttulo3Char" w:type="character">
    <w:name w:val="Título 3 Char"/>
    <w:basedOn w:val="Fontepargpadro"/>
    <w:link w:val="Ttulo3"/>
    <w:uiPriority w:val="9"/>
    <w:rsid w:val="00FC693F"/>
    <w:rPr>
      <w:rFonts w:asciiTheme="majorHAnsi" w:cstheme="majorBidi" w:eastAsiaTheme="majorEastAsia" w:hAnsiTheme="majorHAnsi"/>
      <w:b/>
      <w:bCs/>
      <w:color w:themeColor="accent1" w:val="4F81BD"/>
    </w:rPr>
  </w:style>
  <w:style w:styleId="Ttulo" w:type="paragraph">
    <w:name w:val="Title"/>
    <w:basedOn w:val="Normal"/>
    <w:next w:val="Normal"/>
    <w:link w:val="Ttulo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b/>
      <w:color w:themeColor="text2" w:themeShade="BF" w:val="17365D"/>
      <w:spacing w:val="5"/>
      <w:kern w:val="28"/>
      <w:sz w:val="36"/>
      <w:szCs w:val="52"/>
    </w:rPr>
  </w:style>
  <w:style w:customStyle="1" w:styleId="TtuloChar" w:type="character">
    <w:name w:val="Título Char"/>
    <w:basedOn w:val="Fontepargpadro"/>
    <w:link w:val="Ttulo"/>
    <w:uiPriority w:val="10"/>
    <w:rsid w:val="00FC693F"/>
    <w:rPr>
      <w:rFonts w:asciiTheme="majorHAnsi" w:cstheme="majorBidi" w:eastAsiaTheme="majorEastAsia" w:hAnsiTheme="majorHAnsi"/>
      <w:color w:themeColor="text2" w:themeShade="BF" w:val="17365D"/>
      <w:spacing w:val="5"/>
      <w:kern w:val="28"/>
      <w:sz w:val="52"/>
      <w:szCs w:val="52"/>
    </w:rPr>
  </w:style>
  <w:style w:styleId="Subttulo" w:type="paragraph">
    <w:name w:val="Subtitle"/>
    <w:basedOn w:val="Normal"/>
    <w:next w:val="Normal"/>
    <w:link w:val="Subttulo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tuloChar" w:type="character">
    <w:name w:val="Subtítulo Char"/>
    <w:basedOn w:val="Fontepargpadro"/>
    <w:link w:val="Subttulo"/>
    <w:uiPriority w:val="11"/>
    <w:rsid w:val="00FC693F"/>
    <w:rPr>
      <w:rFonts w:asciiTheme="majorHAnsi" w:cstheme="majorBidi" w:eastAsiaTheme="majorEastAsia" w:hAnsiTheme="majorHAnsi"/>
      <w:i/>
      <w:iCs/>
      <w:color w:themeColor="accent1" w:val="4F81BD"/>
      <w:spacing w:val="15"/>
      <w:sz w:val="24"/>
      <w:szCs w:val="24"/>
    </w:rPr>
  </w:style>
  <w:style w:styleId="PargrafodaLista" w:type="paragraph">
    <w:name w:val="List Paragraph"/>
    <w:basedOn w:val="Normal"/>
    <w:uiPriority w:val="34"/>
    <w:qFormat/>
    <w:rsid w:val="00FC693F"/>
    <w:pPr>
      <w:ind w:left="720"/>
      <w:contextualSpacing/>
    </w:pPr>
  </w:style>
  <w:style w:styleId="Corpodetexto" w:type="paragraph">
    <w:name w:val="Body Text"/>
    <w:basedOn w:val="Normal"/>
    <w:link w:val="CorpodetextoChar"/>
    <w:uiPriority w:val="99"/>
    <w:unhideWhenUsed/>
    <w:rsid w:val="00AA1D8D"/>
    <w:pPr>
      <w:spacing w:after="120"/>
    </w:pPr>
  </w:style>
  <w:style w:customStyle="1" w:styleId="CorpodetextoChar" w:type="character">
    <w:name w:val="Corpo de texto Char"/>
    <w:basedOn w:val="Fontepargpadro"/>
    <w:link w:val="Corpodetexto"/>
    <w:uiPriority w:val="99"/>
    <w:rsid w:val="00AA1D8D"/>
  </w:style>
  <w:style w:styleId="Corpodetexto2" w:type="paragraph">
    <w:name w:val="Body Text 2"/>
    <w:basedOn w:val="Normal"/>
    <w:link w:val="Corpodetexto2Char"/>
    <w:uiPriority w:val="99"/>
    <w:unhideWhenUsed/>
    <w:rsid w:val="00AA1D8D"/>
    <w:pPr>
      <w:spacing w:after="120" w:line="480" w:lineRule="auto"/>
    </w:pPr>
  </w:style>
  <w:style w:customStyle="1" w:styleId="Corpodetexto2Char" w:type="character">
    <w:name w:val="Corpo de texto 2 Char"/>
    <w:basedOn w:val="Fontepargpadro"/>
    <w:link w:val="Corpodetexto2"/>
    <w:uiPriority w:val="99"/>
    <w:rsid w:val="00AA1D8D"/>
  </w:style>
  <w:style w:styleId="Corpodetexto3" w:type="paragraph">
    <w:name w:val="Body Text 3"/>
    <w:basedOn w:val="Normal"/>
    <w:link w:val="Corpodetexto3Char"/>
    <w:uiPriority w:val="99"/>
    <w:unhideWhenUsed/>
    <w:rsid w:val="00AA1D8D"/>
    <w:pPr>
      <w:spacing w:after="120"/>
    </w:pPr>
    <w:rPr>
      <w:sz w:val="16"/>
      <w:szCs w:val="16"/>
    </w:rPr>
  </w:style>
  <w:style w:customStyle="1" w:styleId="Corpodetexto3Char" w:type="character">
    <w:name w:val="Corpo de texto 3 Char"/>
    <w:basedOn w:val="Fontepargpadro"/>
    <w:link w:val="Corpodetexto3"/>
    <w:uiPriority w:val="99"/>
    <w:rsid w:val="00AA1D8D"/>
    <w:rPr>
      <w:sz w:val="16"/>
      <w:szCs w:val="16"/>
    </w:rPr>
  </w:style>
  <w:style w:styleId="Lista" w:type="paragraph">
    <w:name w:val="List"/>
    <w:basedOn w:val="Normal"/>
    <w:uiPriority w:val="99"/>
    <w:unhideWhenUsed/>
    <w:rsid w:val="00AA1D8D"/>
    <w:pPr>
      <w:ind w:hanging="360" w:left="360"/>
      <w:contextualSpacing/>
    </w:pPr>
  </w:style>
  <w:style w:styleId="Lista2" w:type="paragraph">
    <w:name w:val="List 2"/>
    <w:basedOn w:val="Normal"/>
    <w:uiPriority w:val="99"/>
    <w:unhideWhenUsed/>
    <w:rsid w:val="00326F90"/>
    <w:pPr>
      <w:ind w:hanging="360" w:left="720"/>
      <w:contextualSpacing/>
    </w:pPr>
  </w:style>
  <w:style w:styleId="Lista3" w:type="paragraph">
    <w:name w:val="List 3"/>
    <w:basedOn w:val="Normal"/>
    <w:uiPriority w:val="99"/>
    <w:unhideWhenUsed/>
    <w:rsid w:val="00326F90"/>
    <w:pPr>
      <w:ind w:hanging="360" w:left="1080"/>
      <w:contextualSpacing/>
    </w:pPr>
  </w:style>
  <w:style w:styleId="Commarcadores" w:type="paragraph">
    <w:name w:val="List Bullet"/>
    <w:basedOn w:val="Normal"/>
    <w:uiPriority w:val="99"/>
    <w:unhideWhenUsed/>
    <w:rsid w:val="00326F90"/>
    <w:pPr>
      <w:numPr>
        <w:numId w:val="1"/>
      </w:numPr>
      <w:contextualSpacing/>
    </w:pPr>
  </w:style>
  <w:style w:styleId="Commarcadores2" w:type="paragraph">
    <w:name w:val="List Bullet 2"/>
    <w:basedOn w:val="Normal"/>
    <w:uiPriority w:val="99"/>
    <w:unhideWhenUsed/>
    <w:rsid w:val="00326F90"/>
    <w:pPr>
      <w:numPr>
        <w:numId w:val="2"/>
      </w:numPr>
      <w:contextualSpacing/>
    </w:pPr>
  </w:style>
  <w:style w:styleId="Commarcadores3" w:type="paragraph">
    <w:name w:val="List Bullet 3"/>
    <w:basedOn w:val="Normal"/>
    <w:uiPriority w:val="99"/>
    <w:unhideWhenUsed/>
    <w:rsid w:val="00326F90"/>
    <w:pPr>
      <w:numPr>
        <w:numId w:val="3"/>
      </w:numPr>
      <w:contextualSpacing/>
    </w:pPr>
  </w:style>
  <w:style w:styleId="Numerada" w:type="paragraph">
    <w:name w:val="List Number"/>
    <w:basedOn w:val="Normal"/>
    <w:uiPriority w:val="99"/>
    <w:unhideWhenUsed/>
    <w:rsid w:val="00326F90"/>
    <w:pPr>
      <w:numPr>
        <w:numId w:val="5"/>
      </w:numPr>
      <w:contextualSpacing/>
    </w:pPr>
  </w:style>
  <w:style w:styleId="Numerada2" w:type="paragraph">
    <w:name w:val="List Number 2"/>
    <w:basedOn w:val="Normal"/>
    <w:uiPriority w:val="99"/>
    <w:unhideWhenUsed/>
    <w:rsid w:val="0029639D"/>
    <w:pPr>
      <w:numPr>
        <w:numId w:val="6"/>
      </w:numPr>
      <w:contextualSpacing/>
    </w:pPr>
  </w:style>
  <w:style w:styleId="Numerada3" w:type="paragraph">
    <w:name w:val="List Number 3"/>
    <w:basedOn w:val="Normal"/>
    <w:uiPriority w:val="99"/>
    <w:unhideWhenUsed/>
    <w:rsid w:val="0029639D"/>
    <w:pPr>
      <w:numPr>
        <w:numId w:val="7"/>
      </w:numPr>
      <w:contextualSpacing/>
    </w:pPr>
  </w:style>
  <w:style w:styleId="Listadecontinuao" w:type="paragraph">
    <w:name w:val="List Continue"/>
    <w:basedOn w:val="Normal"/>
    <w:uiPriority w:val="99"/>
    <w:unhideWhenUsed/>
    <w:rsid w:val="0029639D"/>
    <w:pPr>
      <w:spacing w:after="120"/>
      <w:ind w:left="360"/>
      <w:contextualSpacing/>
    </w:pPr>
  </w:style>
  <w:style w:styleId="Listadecontinuao2" w:type="paragraph">
    <w:name w:val="List Continue 2"/>
    <w:basedOn w:val="Normal"/>
    <w:uiPriority w:val="99"/>
    <w:unhideWhenUsed/>
    <w:rsid w:val="0029639D"/>
    <w:pPr>
      <w:spacing w:after="120"/>
      <w:ind w:left="720"/>
      <w:contextualSpacing/>
    </w:pPr>
  </w:style>
  <w:style w:styleId="Listadecontinuao3" w:type="paragraph">
    <w:name w:val="List Continue 3"/>
    <w:basedOn w:val="Normal"/>
    <w:uiPriority w:val="99"/>
    <w:unhideWhenUsed/>
    <w:rsid w:val="0029639D"/>
    <w:pPr>
      <w:spacing w:after="120"/>
      <w:ind w:left="1080"/>
      <w:contextualSpacing/>
    </w:pPr>
  </w:style>
  <w:style w:styleId="Textodemacro" w:type="paragraph">
    <w:name w:val="macro"/>
    <w:link w:val="Textodemacro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TextodemacroChar" w:type="character">
    <w:name w:val="Texto de macro Char"/>
    <w:basedOn w:val="Fontepargpadro"/>
    <w:link w:val="Textodemacro"/>
    <w:uiPriority w:val="99"/>
    <w:rsid w:val="0029639D"/>
    <w:rPr>
      <w:rFonts w:ascii="Courier" w:hAnsi="Courier"/>
      <w:sz w:val="20"/>
      <w:szCs w:val="20"/>
    </w:rPr>
  </w:style>
  <w:style w:styleId="Citao" w:type="paragraph">
    <w:name w:val="Quote"/>
    <w:basedOn w:val="Normal"/>
    <w:next w:val="Normal"/>
    <w:link w:val="CitaoChar"/>
    <w:uiPriority w:val="29"/>
    <w:qFormat/>
    <w:rsid w:val="00FC693F"/>
    <w:rPr>
      <w:i/>
      <w:iCs/>
      <w:color w:themeColor="text1" w:val="000000"/>
    </w:rPr>
  </w:style>
  <w:style w:customStyle="1" w:styleId="CitaoChar" w:type="character">
    <w:name w:val="Citação Char"/>
    <w:basedOn w:val="Fontepargpadro"/>
    <w:link w:val="Citao"/>
    <w:uiPriority w:val="29"/>
    <w:rsid w:val="00FC693F"/>
    <w:rPr>
      <w:i/>
      <w:iCs/>
      <w:color w:themeColor="text1" w:val="000000"/>
    </w:rPr>
  </w:style>
  <w:style w:customStyle="1" w:styleId="Ttulo4Char" w:type="character">
    <w:name w:val="Título 4 Char"/>
    <w:basedOn w:val="Fontepargpadro"/>
    <w:link w:val="Ttulo4"/>
    <w:uiPriority w:val="9"/>
    <w:semiHidden/>
    <w:rsid w:val="00FC693F"/>
    <w:rPr>
      <w:rFonts w:asciiTheme="majorHAnsi" w:cstheme="majorBidi" w:eastAsiaTheme="majorEastAsia" w:hAnsiTheme="majorHAnsi"/>
      <w:b/>
      <w:bCs/>
      <w:i/>
      <w:iCs/>
      <w:color w:themeColor="accent1" w:val="4F81BD"/>
    </w:rPr>
  </w:style>
  <w:style w:customStyle="1" w:styleId="Ttulo5Char" w:type="character">
    <w:name w:val="Título 5 Char"/>
    <w:basedOn w:val="Fontepargpadro"/>
    <w:link w:val="Ttulo5"/>
    <w:uiPriority w:val="9"/>
    <w:semiHidden/>
    <w:rsid w:val="00FC693F"/>
    <w:rPr>
      <w:rFonts w:asciiTheme="majorHAnsi" w:cstheme="majorBidi" w:eastAsiaTheme="majorEastAsia" w:hAnsiTheme="majorHAnsi"/>
      <w:color w:themeColor="accent1" w:themeShade="7F" w:val="243F60"/>
    </w:rPr>
  </w:style>
  <w:style w:customStyle="1" w:styleId="Ttulo6Char" w:type="character">
    <w:name w:val="Título 6 Char"/>
    <w:basedOn w:val="Fontepargpadro"/>
    <w:link w:val="Ttulo6"/>
    <w:uiPriority w:val="9"/>
    <w:semiHidden/>
    <w:rsid w:val="00FC693F"/>
    <w:rPr>
      <w:rFonts w:asciiTheme="majorHAnsi" w:cstheme="majorBidi" w:eastAsiaTheme="majorEastAsia" w:hAnsiTheme="majorHAnsi"/>
      <w:i/>
      <w:iCs/>
      <w:color w:themeColor="accent1" w:themeShade="7F" w:val="243F60"/>
    </w:rPr>
  </w:style>
  <w:style w:customStyle="1" w:styleId="Ttulo7Char" w:type="character">
    <w:name w:val="Título 7 Char"/>
    <w:basedOn w:val="Fontepargpadro"/>
    <w:link w:val="Ttulo7"/>
    <w:uiPriority w:val="9"/>
    <w:semiHidden/>
    <w:rsid w:val="00FC693F"/>
    <w:rPr>
      <w:rFonts w:asciiTheme="majorHAnsi" w:cstheme="majorBidi" w:eastAsiaTheme="majorEastAsia" w:hAnsiTheme="majorHAnsi"/>
      <w:i/>
      <w:iCs/>
      <w:color w:themeColor="text1" w:themeTint="BF" w:val="404040"/>
    </w:rPr>
  </w:style>
  <w:style w:customStyle="1" w:styleId="Ttulo8Char" w:type="character">
    <w:name w:val="Título 8 Char"/>
    <w:basedOn w:val="Fontepargpadro"/>
    <w:link w:val="Ttulo8"/>
    <w:uiPriority w:val="9"/>
    <w:semiHidden/>
    <w:rsid w:val="00FC693F"/>
    <w:rPr>
      <w:rFonts w:asciiTheme="majorHAnsi" w:cstheme="majorBidi" w:eastAsiaTheme="majorEastAsia" w:hAnsiTheme="majorHAnsi"/>
      <w:color w:themeColor="accent1" w:val="4F81BD"/>
      <w:sz w:val="20"/>
      <w:szCs w:val="20"/>
    </w:rPr>
  </w:style>
  <w:style w:customStyle="1" w:styleId="Ttulo9Char" w:type="character">
    <w:name w:val="Título 9 Char"/>
    <w:basedOn w:val="Fontepargpadro"/>
    <w:link w:val="Ttulo9"/>
    <w:uiPriority w:val="9"/>
    <w:semiHidden/>
    <w:rsid w:val="00FC693F"/>
    <w:rPr>
      <w:rFonts w:asciiTheme="majorHAnsi" w:cstheme="majorBidi" w:eastAsiaTheme="majorEastAsia" w:hAnsiTheme="majorHAnsi"/>
      <w:i/>
      <w:iCs/>
      <w:color w:themeColor="text1" w:themeTint="BF" w:val="404040"/>
      <w:sz w:val="20"/>
      <w:szCs w:val="20"/>
    </w:rPr>
  </w:style>
  <w:style w:styleId="Legenda" w:type="paragraph">
    <w:name w:val="caption"/>
    <w:basedOn w:val="Normal"/>
    <w:next w:val="Normal"/>
    <w:uiPriority w:val="35"/>
    <w:semiHidden/>
    <w:unhideWhenUsed/>
    <w:qFormat/>
    <w:rsid w:val="00FC693F"/>
    <w:pPr>
      <w:spacing w:line="240" w:lineRule="auto"/>
    </w:pPr>
    <w:rPr>
      <w:b/>
      <w:bCs/>
      <w:i/>
      <w:color w:themeColor="accent1" w:val="4F81BD"/>
      <w:sz w:val="18"/>
      <w:szCs w:val="18"/>
    </w:rPr>
  </w:style>
  <w:style w:styleId="Forte" w:type="character">
    <w:name w:val="Strong"/>
    <w:basedOn w:val="Fontepargpadro"/>
    <w:uiPriority w:val="22"/>
    <w:qFormat/>
    <w:rsid w:val="00FC693F"/>
    <w:rPr>
      <w:b/>
      <w:bCs/>
    </w:rPr>
  </w:style>
  <w:style w:styleId="nfase" w:type="character">
    <w:name w:val="Emphasis"/>
    <w:basedOn w:val="Fontepargpadro"/>
    <w:uiPriority w:val="20"/>
    <w:qFormat/>
    <w:rsid w:val="00FC693F"/>
    <w:rPr>
      <w:i/>
      <w:iCs/>
    </w:rPr>
  </w:style>
  <w:style w:styleId="CitaoIntensa" w:type="paragraph">
    <w:name w:val="Intense Quote"/>
    <w:basedOn w:val="Normal"/>
    <w:next w:val="Normal"/>
    <w:link w:val="CitaoIntensa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CitaoIntensaChar" w:type="character">
    <w:name w:val="Citação Intensa Char"/>
    <w:basedOn w:val="Fontepargpadro"/>
    <w:link w:val="CitaoIntensa"/>
    <w:uiPriority w:val="30"/>
    <w:rsid w:val="00FC693F"/>
    <w:rPr>
      <w:b/>
      <w:bCs/>
      <w:i/>
      <w:iCs/>
      <w:color w:themeColor="accent1" w:val="4F81BD"/>
    </w:rPr>
  </w:style>
  <w:style w:styleId="nfaseSutil" w:type="character">
    <w:name w:val="Subtle Emphasis"/>
    <w:basedOn w:val="Fontepargpadro"/>
    <w:uiPriority w:val="19"/>
    <w:qFormat/>
    <w:rsid w:val="00FC693F"/>
    <w:rPr>
      <w:i/>
      <w:iCs/>
      <w:color w:themeColor="text1" w:themeTint="7F" w:val="808080"/>
    </w:rPr>
  </w:style>
  <w:style w:styleId="nfaseIntensa" w:type="character">
    <w:name w:val="Intense Emphasis"/>
    <w:basedOn w:val="Fontepargpadro"/>
    <w:uiPriority w:val="21"/>
    <w:qFormat/>
    <w:rsid w:val="00FC693F"/>
    <w:rPr>
      <w:b/>
      <w:bCs/>
      <w:i/>
      <w:iCs/>
      <w:color w:themeColor="accent1" w:val="4F81BD"/>
    </w:rPr>
  </w:style>
  <w:style w:styleId="RefernciaSutil" w:type="character">
    <w:name w:val="Subtle Reference"/>
    <w:basedOn w:val="Fontepargpadro"/>
    <w:uiPriority w:val="31"/>
    <w:qFormat/>
    <w:rsid w:val="00FC693F"/>
    <w:rPr>
      <w:smallCaps/>
      <w:color w:themeColor="accent2" w:val="C0504D"/>
      <w:u w:val="single"/>
    </w:rPr>
  </w:style>
  <w:style w:styleId="RefernciaIntensa" w:type="character">
    <w:name w:val="Intense Reference"/>
    <w:basedOn w:val="Fontepargpadro"/>
    <w:uiPriority w:val="32"/>
    <w:qFormat/>
    <w:rsid w:val="00FC693F"/>
    <w:rPr>
      <w:b/>
      <w:bCs/>
      <w:smallCaps/>
      <w:color w:themeColor="accent2" w:val="C0504D"/>
      <w:spacing w:val="5"/>
      <w:u w:val="single"/>
    </w:rPr>
  </w:style>
  <w:style w:styleId="TtulodoLivro" w:type="character">
    <w:name w:val="Book Title"/>
    <w:basedOn w:val="Fontepargpadro"/>
    <w:uiPriority w:val="33"/>
    <w:qFormat/>
    <w:rsid w:val="00FC693F"/>
    <w:rPr>
      <w:b/>
      <w:bCs/>
      <w:smallCaps/>
      <w:spacing w:val="5"/>
    </w:rPr>
  </w:style>
  <w:style w:styleId="CabealhodoSumrio" w:type="paragraph">
    <w:name w:val="TOC Heading"/>
    <w:basedOn w:val="Ttulo1"/>
    <w:next w:val="Normal"/>
    <w:uiPriority w:val="39"/>
    <w:semiHidden/>
    <w:unhideWhenUsed/>
    <w:qFormat/>
    <w:rsid w:val="00FC693F"/>
    <w:pPr>
      <w:outlineLvl w:val="9"/>
    </w:pPr>
  </w:style>
  <w:style w:styleId="Tabelacomgrade" w:type="table">
    <w:name w:val="Table Grid"/>
    <w:basedOn w:val="Tabela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SombreamentoClaro" w:type="table">
    <w:name w:val="Light Shading"/>
    <w:basedOn w:val="Tabelanormal"/>
    <w:uiPriority w:val="60"/>
    <w:rsid w:val="00FC693F"/>
    <w:pPr>
      <w:spacing w:after="0" w:line="240" w:lineRule="auto"/>
    </w:pPr>
    <w:rPr>
      <w:color w:themeColor="text1" w:themeShade="BF" w:val="000000"/>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SombreamentoClaro-nfase1" w:type="table">
    <w:name w:val="Light Shading Accent 1"/>
    <w:basedOn w:val="Tabelanormal"/>
    <w:uiPriority w:val="60"/>
    <w:rsid w:val="00FC693F"/>
    <w:pPr>
      <w:spacing w:after="0" w:line="240" w:lineRule="auto"/>
    </w:pPr>
    <w:rPr>
      <w:color w:themeColor="accent1" w:themeShade="BF" w:val="365F91"/>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SombreamentoClaro-nfase2" w:type="table">
    <w:name w:val="Light Shading Accent 2"/>
    <w:basedOn w:val="Tabelanormal"/>
    <w:uiPriority w:val="60"/>
    <w:rsid w:val="00FC693F"/>
    <w:pPr>
      <w:spacing w:after="0" w:line="240" w:lineRule="auto"/>
    </w:pPr>
    <w:rPr>
      <w:color w:themeColor="accent2" w:themeShade="BF" w:val="943634"/>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SombreamentoClaro-nfase3" w:type="table">
    <w:name w:val="Light Shading Accent 3"/>
    <w:basedOn w:val="Tabelanormal"/>
    <w:uiPriority w:val="60"/>
    <w:rsid w:val="00FC693F"/>
    <w:pPr>
      <w:spacing w:after="0" w:line="240" w:lineRule="auto"/>
    </w:pPr>
    <w:rPr>
      <w:color w:themeColor="accent3" w:themeShade="BF" w:val="76923C"/>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SombreamentoClaro-nfase4" w:type="table">
    <w:name w:val="Light Shading Accent 4"/>
    <w:basedOn w:val="Tabelanormal"/>
    <w:uiPriority w:val="60"/>
    <w:rsid w:val="00FC693F"/>
    <w:pPr>
      <w:spacing w:after="0" w:line="240" w:lineRule="auto"/>
    </w:pPr>
    <w:rPr>
      <w:color w:themeColor="accent4" w:themeShade="BF" w:val="5F497A"/>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SombreamentoClaro-nfase5" w:type="table">
    <w:name w:val="Light Shading Accent 5"/>
    <w:basedOn w:val="Tabelanormal"/>
    <w:uiPriority w:val="60"/>
    <w:rsid w:val="00FC693F"/>
    <w:pPr>
      <w:spacing w:after="0" w:line="240" w:lineRule="auto"/>
    </w:pPr>
    <w:rPr>
      <w:color w:themeColor="accent5" w:themeShade="BF" w:val="31849B"/>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SombreamentoClaro-nfase6" w:type="table">
    <w:name w:val="Light Shading Accent 6"/>
    <w:basedOn w:val="Tabelanormal"/>
    <w:uiPriority w:val="60"/>
    <w:rsid w:val="00FC693F"/>
    <w:pPr>
      <w:spacing w:after="0" w:line="240" w:lineRule="auto"/>
    </w:pPr>
    <w:rPr>
      <w:color w:themeColor="accent6" w:themeShade="BF" w:val="E36C0A"/>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staClara" w:type="table">
    <w:name w:val="Light List"/>
    <w:basedOn w:val="Tabela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staClara-nfase1" w:type="table">
    <w:name w:val="Light List Accent 1"/>
    <w:basedOn w:val="Tabela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staClara-nfase2" w:type="table">
    <w:name w:val="Light List Accent 2"/>
    <w:basedOn w:val="Tabela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staClara-nfase3" w:type="table">
    <w:name w:val="Light List Accent 3"/>
    <w:basedOn w:val="Tabela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staClara-nfase4" w:type="table">
    <w:name w:val="Light List Accent 4"/>
    <w:basedOn w:val="Tabela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staClara-nfase5" w:type="table">
    <w:name w:val="Light List Accent 5"/>
    <w:basedOn w:val="Tabela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staClara-nfase6" w:type="table">
    <w:name w:val="Light List Accent 6"/>
    <w:basedOn w:val="Tabela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GradeClara" w:type="table">
    <w:name w:val="Light Grid"/>
    <w:basedOn w:val="Tabela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GradeClara-nfase1" w:type="table">
    <w:name w:val="Light Grid Accent 1"/>
    <w:basedOn w:val="Tabela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GradeClara-nfase2" w:type="table">
    <w:name w:val="Light Grid Accent 2"/>
    <w:basedOn w:val="Tabela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GradeClara-nfase3" w:type="table">
    <w:name w:val="Light Grid Accent 3"/>
    <w:basedOn w:val="Tabela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GradeClara-nfase4" w:type="table">
    <w:name w:val="Light Grid Accent 4"/>
    <w:basedOn w:val="Tabela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GradeClara-nfase5" w:type="table">
    <w:name w:val="Light Grid Accent 5"/>
    <w:basedOn w:val="Tabela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GradeClara-nfase6" w:type="table">
    <w:name w:val="Light Grid Accent 6"/>
    <w:basedOn w:val="Tabela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SombreamentoMdio1" w:type="table">
    <w:name w:val="Medium Shading 1"/>
    <w:basedOn w:val="Tabelanormal"/>
    <w:uiPriority w:val="63"/>
    <w:rsid w:val="00CB0664"/>
    <w:pPr>
      <w:spacing w:after="0" w:line="240" w:lineRule="auto"/>
    </w:pPr>
    <w:tblPr>
      <w:tblStyleRowBandSize w:val="1"/>
      <w:tblStyleColBandSize w:val="1"/>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SombreamentoMdio1-nfase1" w:type="table">
    <w:name w:val="Medium Shading 1 Accent 1"/>
    <w:basedOn w:val="Tabelanormal"/>
    <w:uiPriority w:val="63"/>
    <w:rsid w:val="00CB0664"/>
    <w:pPr>
      <w:spacing w:after="0" w:line="240" w:lineRule="auto"/>
    </w:pPr>
    <w:tblPr>
      <w:tblStyleRowBandSize w:val="1"/>
      <w:tblStyleColBandSize w:val="1"/>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SombreamentoMdio1-nfase2" w:type="table">
    <w:name w:val="Medium Shading 1 Accent 2"/>
    <w:basedOn w:val="Tabelanormal"/>
    <w:uiPriority w:val="63"/>
    <w:rsid w:val="00CB0664"/>
    <w:pPr>
      <w:spacing w:after="0" w:line="240" w:lineRule="auto"/>
    </w:pPr>
    <w:tblPr>
      <w:tblStyleRowBandSize w:val="1"/>
      <w:tblStyleColBandSize w:val="1"/>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SombreamentoMdio1-nfase3" w:type="table">
    <w:name w:val="Medium Shading 1 Accent 3"/>
    <w:basedOn w:val="Tabelanormal"/>
    <w:uiPriority w:val="63"/>
    <w:rsid w:val="00CB0664"/>
    <w:pPr>
      <w:spacing w:after="0" w:line="240" w:lineRule="auto"/>
    </w:pPr>
    <w:tblPr>
      <w:tblStyleRowBandSize w:val="1"/>
      <w:tblStyleColBandSize w:val="1"/>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SombreamentoMdio1-nfase4" w:type="table">
    <w:name w:val="Medium Shading 1 Accent 4"/>
    <w:basedOn w:val="Tabelanormal"/>
    <w:uiPriority w:val="63"/>
    <w:rsid w:val="00CB0664"/>
    <w:pPr>
      <w:spacing w:after="0" w:line="240" w:lineRule="auto"/>
    </w:pPr>
    <w:tblPr>
      <w:tblStyleRowBandSize w:val="1"/>
      <w:tblStyleColBandSize w:val="1"/>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SombreamentoMdio1-nfase5" w:type="table">
    <w:name w:val="Medium Shading 1 Accent 5"/>
    <w:basedOn w:val="Tabelanormal"/>
    <w:uiPriority w:val="63"/>
    <w:rsid w:val="00CB0664"/>
    <w:pPr>
      <w:spacing w:after="0" w:line="240" w:lineRule="auto"/>
    </w:pPr>
    <w:tblPr>
      <w:tblStyleRowBandSize w:val="1"/>
      <w:tblStyleColBandSize w:val="1"/>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SombreamentoMdio1-nfase6" w:type="table">
    <w:name w:val="Medium Shading 1 Accent 6"/>
    <w:basedOn w:val="Tabelanormal"/>
    <w:uiPriority w:val="63"/>
    <w:rsid w:val="00CB0664"/>
    <w:pPr>
      <w:spacing w:after="0" w:line="240" w:lineRule="auto"/>
    </w:pPr>
    <w:tblPr>
      <w:tblStyleRowBandSize w:val="1"/>
      <w:tblStyleColBandSize w:val="1"/>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SombreamentoMdio2" w:type="table">
    <w:name w:val="Medium Shading 2"/>
    <w:basedOn w:val="Tabela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SombreamentoMdio2-nfase1" w:type="table">
    <w:name w:val="Medium Shading 2 Accent 1"/>
    <w:basedOn w:val="Tabela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SombreamentoMdio2-nfase2" w:type="table">
    <w:name w:val="Medium Shading 2 Accent 2"/>
    <w:basedOn w:val="Tabela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SombreamentoMdio2-nfase3" w:type="table">
    <w:name w:val="Medium Shading 2 Accent 3"/>
    <w:basedOn w:val="Tabela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SombreamentoMdio2-nfase4" w:type="table">
    <w:name w:val="Medium Shading 2 Accent 4"/>
    <w:basedOn w:val="Tabela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SombreamentoMdio2-nfase5" w:type="table">
    <w:name w:val="Medium Shading 2 Accent 5"/>
    <w:basedOn w:val="Tabela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SombreamentoMdio2-nfase6" w:type="table">
    <w:name w:val="Medium Shading 2 Accent 6"/>
    <w:basedOn w:val="Tabela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ListaMdia1" w:type="table">
    <w:name w:val="Medium List 1"/>
    <w:basedOn w:val="Tabelanormal"/>
    <w:uiPriority w:val="65"/>
    <w:rsid w:val="00CB0664"/>
    <w:pPr>
      <w:spacing w:after="0" w:line="240" w:lineRule="auto"/>
    </w:pPr>
    <w:rPr>
      <w:color w:themeColor="text1" w:val="000000"/>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ListaMdia1-nfase1" w:type="table">
    <w:name w:val="Medium List 1 Accent 1"/>
    <w:basedOn w:val="Tabelanormal"/>
    <w:uiPriority w:val="65"/>
    <w:rsid w:val="00CB0664"/>
    <w:pPr>
      <w:spacing w:after="0" w:line="240" w:lineRule="auto"/>
    </w:pPr>
    <w:rPr>
      <w:color w:themeColor="text1" w:val="000000"/>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ListaMdia1-nfase2" w:type="table">
    <w:name w:val="Medium List 1 Accent 2"/>
    <w:basedOn w:val="Tabelanormal"/>
    <w:uiPriority w:val="65"/>
    <w:rsid w:val="00CB0664"/>
    <w:pPr>
      <w:spacing w:after="0" w:line="240" w:lineRule="auto"/>
    </w:pPr>
    <w:rPr>
      <w:color w:themeColor="text1" w:val="000000"/>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ListaMdia1-nfase3" w:type="table">
    <w:name w:val="Medium List 1 Accent 3"/>
    <w:basedOn w:val="Tabelanormal"/>
    <w:uiPriority w:val="65"/>
    <w:rsid w:val="00CB0664"/>
    <w:pPr>
      <w:spacing w:after="0" w:line="240" w:lineRule="auto"/>
    </w:pPr>
    <w:rPr>
      <w:color w:themeColor="text1" w:val="000000"/>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ListaMdia1-nfase4" w:type="table">
    <w:name w:val="Medium List 1 Accent 4"/>
    <w:basedOn w:val="Tabelanormal"/>
    <w:uiPriority w:val="65"/>
    <w:rsid w:val="00CB0664"/>
    <w:pPr>
      <w:spacing w:after="0" w:line="240" w:lineRule="auto"/>
    </w:pPr>
    <w:rPr>
      <w:color w:themeColor="text1" w:val="000000"/>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ListaMdia1-nfase5" w:type="table">
    <w:name w:val="Medium List 1 Accent 5"/>
    <w:basedOn w:val="Tabelanormal"/>
    <w:uiPriority w:val="65"/>
    <w:rsid w:val="00CB0664"/>
    <w:pPr>
      <w:spacing w:after="0" w:line="240" w:lineRule="auto"/>
    </w:pPr>
    <w:rPr>
      <w:color w:themeColor="text1" w:val="000000"/>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ListaMdia1-nfase6" w:type="table">
    <w:name w:val="Medium List 1 Accent 6"/>
    <w:basedOn w:val="Tabelanormal"/>
    <w:uiPriority w:val="65"/>
    <w:rsid w:val="00CB0664"/>
    <w:pPr>
      <w:spacing w:after="0" w:line="240" w:lineRule="auto"/>
    </w:pPr>
    <w:rPr>
      <w:color w:themeColor="text1" w:val="000000"/>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ListaMdia2" w:type="table">
    <w:name w:val="Medium List 2"/>
    <w:basedOn w:val="Tabela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ListaMdia2-nfase1" w:type="table">
    <w:name w:val="Medium List 2 Accent 1"/>
    <w:basedOn w:val="Tabela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ListaMdia2-nfase2" w:type="table">
    <w:name w:val="Medium List 2 Accent 2"/>
    <w:basedOn w:val="Tabela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ListaMdia2-nfase3" w:type="table">
    <w:name w:val="Medium List 2 Accent 3"/>
    <w:basedOn w:val="Tabela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ListaMdia2-nfase4" w:type="table">
    <w:name w:val="Medium List 2 Accent 4"/>
    <w:basedOn w:val="Tabela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ListaMdia2-nfase5" w:type="table">
    <w:name w:val="Medium List 2 Accent 5"/>
    <w:basedOn w:val="Tabela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ListaMdia2-nfase6" w:type="table">
    <w:name w:val="Medium List 2 Accent 6"/>
    <w:basedOn w:val="Tabela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GradeMdia1" w:type="table">
    <w:name w:val="Medium Grid 1"/>
    <w:basedOn w:val="Tabelanormal"/>
    <w:uiPriority w:val="67"/>
    <w:rsid w:val="00CB0664"/>
    <w:pPr>
      <w:spacing w:after="0" w:line="240" w:lineRule="auto"/>
    </w:pPr>
    <w:tblPr>
      <w:tblStyleRowBandSize w:val="1"/>
      <w:tblStyleColBandSize w:val="1"/>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GradeMdia1-nfase1" w:type="table">
    <w:name w:val="Medium Grid 1 Accent 1"/>
    <w:basedOn w:val="Tabelanormal"/>
    <w:uiPriority w:val="67"/>
    <w:rsid w:val="00CB0664"/>
    <w:pPr>
      <w:spacing w:after="0" w:line="240" w:lineRule="auto"/>
    </w:pPr>
    <w:tblPr>
      <w:tblStyleRowBandSize w:val="1"/>
      <w:tblStyleColBandSize w:val="1"/>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GradeMdia1-nfase2" w:type="table">
    <w:name w:val="Medium Grid 1 Accent 2"/>
    <w:basedOn w:val="Tabelanormal"/>
    <w:uiPriority w:val="67"/>
    <w:rsid w:val="00CB0664"/>
    <w:pPr>
      <w:spacing w:after="0" w:line="240" w:lineRule="auto"/>
    </w:pPr>
    <w:tblPr>
      <w:tblStyleRowBandSize w:val="1"/>
      <w:tblStyleColBandSize w:val="1"/>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GradeMdia1-nfase3" w:type="table">
    <w:name w:val="Medium Grid 1 Accent 3"/>
    <w:basedOn w:val="Tabelanormal"/>
    <w:uiPriority w:val="67"/>
    <w:rsid w:val="00CB0664"/>
    <w:pPr>
      <w:spacing w:after="0" w:line="240" w:lineRule="auto"/>
    </w:pPr>
    <w:tblPr>
      <w:tblStyleRowBandSize w:val="1"/>
      <w:tblStyleColBandSize w:val="1"/>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GradeMdia1-nfase4" w:type="table">
    <w:name w:val="Medium Grid 1 Accent 4"/>
    <w:basedOn w:val="Tabelanormal"/>
    <w:uiPriority w:val="67"/>
    <w:rsid w:val="00CB0664"/>
    <w:pPr>
      <w:spacing w:after="0" w:line="240" w:lineRule="auto"/>
    </w:pPr>
    <w:tblPr>
      <w:tblStyleRowBandSize w:val="1"/>
      <w:tblStyleColBandSize w:val="1"/>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GradeMdia1-nfase5" w:type="table">
    <w:name w:val="Medium Grid 1 Accent 5"/>
    <w:basedOn w:val="Tabelanormal"/>
    <w:uiPriority w:val="67"/>
    <w:rsid w:val="00CB0664"/>
    <w:pPr>
      <w:spacing w:after="0" w:line="240" w:lineRule="auto"/>
    </w:pPr>
    <w:tblPr>
      <w:tblStyleRowBandSize w:val="1"/>
      <w:tblStyleColBandSize w:val="1"/>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GradeMdia1-nfase6" w:type="table">
    <w:name w:val="Medium Grid 1 Accent 6"/>
    <w:basedOn w:val="Tabelanormal"/>
    <w:uiPriority w:val="67"/>
    <w:rsid w:val="00CB0664"/>
    <w:pPr>
      <w:spacing w:after="0" w:line="240" w:lineRule="auto"/>
    </w:pPr>
    <w:tblPr>
      <w:tblStyleRowBandSize w:val="1"/>
      <w:tblStyleColBandSize w:val="1"/>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GradeMdia2" w:type="table">
    <w:name w:val="Medium Grid 2"/>
    <w:basedOn w:val="Tabela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GradeMdia2-nfase1" w:type="table">
    <w:name w:val="Medium Grid 2 Accent 1"/>
    <w:basedOn w:val="Tabela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GradeMdia2-nfase2" w:type="table">
    <w:name w:val="Medium Grid 2 Accent 2"/>
    <w:basedOn w:val="Tabela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GradeMdia2-nfase3" w:type="table">
    <w:name w:val="Medium Grid 2 Accent 3"/>
    <w:basedOn w:val="Tabela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GradeMdia2-nfase4" w:type="table">
    <w:name w:val="Medium Grid 2 Accent 4"/>
    <w:basedOn w:val="Tabela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GradeMdia2-nfase5" w:type="table">
    <w:name w:val="Medium Grid 2 Accent 5"/>
    <w:basedOn w:val="Tabela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GradeMdia2-nfase6" w:type="table">
    <w:name w:val="Medium Grid 2 Accent 6"/>
    <w:basedOn w:val="Tabela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GradeMdia3" w:type="table">
    <w:name w:val="Medium Grid 3"/>
    <w:basedOn w:val="Tabela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GradeMdia3-nfase1" w:type="table">
    <w:name w:val="Medium Grid 3 Accent 1"/>
    <w:basedOn w:val="Tabela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GradeMdia3-nfase2" w:type="table">
    <w:name w:val="Medium Grid 3 Accent 2"/>
    <w:basedOn w:val="Tabela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GradeMdia3-nfase3" w:type="table">
    <w:name w:val="Medium Grid 3 Accent 3"/>
    <w:basedOn w:val="Tabela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GradeMdia3-nfase4" w:type="table">
    <w:name w:val="Medium Grid 3 Accent 4"/>
    <w:basedOn w:val="Tabela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GradeMdia3-nfase5" w:type="table">
    <w:name w:val="Medium Grid 3 Accent 5"/>
    <w:basedOn w:val="Tabela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GradeMdia3-nfase6" w:type="table">
    <w:name w:val="Medium Grid 3 Accent 6"/>
    <w:basedOn w:val="Tabela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ListaEscura" w:type="table">
    <w:name w:val="Dark List"/>
    <w:basedOn w:val="Tabelanormal"/>
    <w:uiPriority w:val="70"/>
    <w:rsid w:val="00CB0664"/>
    <w:pPr>
      <w:spacing w:after="0" w:line="240" w:lineRule="auto"/>
    </w:pPr>
    <w:rPr>
      <w:color w:themeColor="background1" w:val="FFFFFF"/>
    </w:rPr>
    <w:tblPr>
      <w:tblStyleRowBandSize w:val="1"/>
      <w:tblStyleColBandSize w:val="1"/>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ListaEscura-nfase1" w:type="table">
    <w:name w:val="Dark List Accent 1"/>
    <w:basedOn w:val="Tabelanormal"/>
    <w:uiPriority w:val="70"/>
    <w:rsid w:val="00CB0664"/>
    <w:pPr>
      <w:spacing w:after="0" w:line="240" w:lineRule="auto"/>
    </w:pPr>
    <w:rPr>
      <w:color w:themeColor="background1" w:val="FFFFFF"/>
    </w:rPr>
    <w:tblPr>
      <w:tblStyleRowBandSize w:val="1"/>
      <w:tblStyleColBandSize w:val="1"/>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ListaEscura-nfase2" w:type="table">
    <w:name w:val="Dark List Accent 2"/>
    <w:basedOn w:val="Tabelanormal"/>
    <w:uiPriority w:val="70"/>
    <w:rsid w:val="00CB0664"/>
    <w:pPr>
      <w:spacing w:after="0" w:line="240" w:lineRule="auto"/>
    </w:pPr>
    <w:rPr>
      <w:color w:themeColor="background1" w:val="FFFFFF"/>
    </w:rPr>
    <w:tblPr>
      <w:tblStyleRowBandSize w:val="1"/>
      <w:tblStyleColBandSize w:val="1"/>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ListaEscura-nfase3" w:type="table">
    <w:name w:val="Dark List Accent 3"/>
    <w:basedOn w:val="Tabelanormal"/>
    <w:uiPriority w:val="70"/>
    <w:rsid w:val="00CB0664"/>
    <w:pPr>
      <w:spacing w:after="0" w:line="240" w:lineRule="auto"/>
    </w:pPr>
    <w:rPr>
      <w:color w:themeColor="background1" w:val="FFFFFF"/>
    </w:rPr>
    <w:tblPr>
      <w:tblStyleRowBandSize w:val="1"/>
      <w:tblStyleColBandSize w:val="1"/>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ListaEscura-nfase4" w:type="table">
    <w:name w:val="Dark List Accent 4"/>
    <w:basedOn w:val="Tabelanormal"/>
    <w:uiPriority w:val="70"/>
    <w:rsid w:val="00CB0664"/>
    <w:pPr>
      <w:spacing w:after="0" w:line="240" w:lineRule="auto"/>
    </w:pPr>
    <w:rPr>
      <w:color w:themeColor="background1" w:val="FFFFFF"/>
    </w:rPr>
    <w:tblPr>
      <w:tblStyleRowBandSize w:val="1"/>
      <w:tblStyleColBandSize w:val="1"/>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ListaEscura-nfase5" w:type="table">
    <w:name w:val="Dark List Accent 5"/>
    <w:basedOn w:val="Tabelanormal"/>
    <w:uiPriority w:val="70"/>
    <w:rsid w:val="00CB0664"/>
    <w:pPr>
      <w:spacing w:after="0" w:line="240" w:lineRule="auto"/>
    </w:pPr>
    <w:rPr>
      <w:color w:themeColor="background1" w:val="FFFFFF"/>
    </w:rPr>
    <w:tblPr>
      <w:tblStyleRowBandSize w:val="1"/>
      <w:tblStyleColBandSize w:val="1"/>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ListaEscura-nfase6" w:type="table">
    <w:name w:val="Dark List Accent 6"/>
    <w:basedOn w:val="Tabelanormal"/>
    <w:uiPriority w:val="70"/>
    <w:rsid w:val="00CB0664"/>
    <w:pPr>
      <w:spacing w:after="0" w:line="240" w:lineRule="auto"/>
    </w:pPr>
    <w:rPr>
      <w:color w:themeColor="background1" w:val="FFFFFF"/>
    </w:rPr>
    <w:tblPr>
      <w:tblStyleRowBandSize w:val="1"/>
      <w:tblStyleColBandSize w:val="1"/>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SombreamentoColorido" w:type="table">
    <w:name w:val="Colorful Shading"/>
    <w:basedOn w:val="Tabela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SombreamentoEscuro-nfase1" w:type="table">
    <w:name w:val="Colorful Shading Accent 1"/>
    <w:basedOn w:val="Tabela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SombreamentoColorido-nfase2" w:type="table">
    <w:name w:val="Colorful Shading Accent 2"/>
    <w:basedOn w:val="Tabela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SombreamentoColorido-nfase3" w:type="table">
    <w:name w:val="Colorful Shading Accent 3"/>
    <w:basedOn w:val="Tabelanormal"/>
    <w:uiPriority w:val="71"/>
    <w:rsid w:val="00CB0664"/>
    <w:pPr>
      <w:spacing w:after="0" w:line="240" w:lineRule="auto"/>
    </w:pPr>
    <w:rPr>
      <w:color w:themeColor="text1" w:val="000000"/>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SombreamentoColorido-nfase4" w:type="table">
    <w:name w:val="Colorful Shading Accent 4"/>
    <w:basedOn w:val="Tabelanormal"/>
    <w:uiPriority w:val="71"/>
    <w:rsid w:val="00CB0664"/>
    <w:pPr>
      <w:spacing w:after="0" w:line="240" w:lineRule="auto"/>
    </w:pPr>
    <w:rPr>
      <w:color w:themeColor="text1" w:val="000000"/>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SombreamentoColorido-nfase5" w:type="table">
    <w:name w:val="Colorful Shading Accent 5"/>
    <w:basedOn w:val="Tabelanormal"/>
    <w:uiPriority w:val="71"/>
    <w:rsid w:val="00CB0664"/>
    <w:pPr>
      <w:spacing w:after="0" w:line="240" w:lineRule="auto"/>
    </w:pPr>
    <w:rPr>
      <w:color w:themeColor="text1" w:val="000000"/>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SombreamentoColorido-nfase6" w:type="table">
    <w:name w:val="Colorful Shading Accent 6"/>
    <w:basedOn w:val="Tabelanormal"/>
    <w:uiPriority w:val="71"/>
    <w:rsid w:val="00CB0664"/>
    <w:pPr>
      <w:spacing w:after="0" w:line="240" w:lineRule="auto"/>
    </w:pPr>
    <w:rPr>
      <w:color w:themeColor="text1" w:val="000000"/>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ListaColorida" w:type="table">
    <w:name w:val="Colorful List"/>
    <w:basedOn w:val="Tabelanormal"/>
    <w:uiPriority w:val="72"/>
    <w:rsid w:val="00CB0664"/>
    <w:pPr>
      <w:spacing w:after="0" w:line="240" w:lineRule="auto"/>
    </w:pPr>
    <w:rPr>
      <w:color w:themeColor="text1" w:val="000000"/>
    </w:rPr>
    <w:tblPr>
      <w:tblStyleRowBandSize w:val="1"/>
      <w:tblStyleColBandSize w:val="1"/>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ListaColorida-nfase1" w:type="table">
    <w:name w:val="Colorful List Accent 1"/>
    <w:basedOn w:val="Tabelanormal"/>
    <w:uiPriority w:val="72"/>
    <w:rsid w:val="00CB0664"/>
    <w:pPr>
      <w:spacing w:after="0" w:line="240" w:lineRule="auto"/>
    </w:pPr>
    <w:rPr>
      <w:color w:themeColor="text1" w:val="000000"/>
    </w:rPr>
    <w:tblPr>
      <w:tblStyleRowBandSize w:val="1"/>
      <w:tblStyleColBandSize w:val="1"/>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ListaColorida-nfase2" w:type="table">
    <w:name w:val="Colorful List Accent 2"/>
    <w:basedOn w:val="Tabelanormal"/>
    <w:uiPriority w:val="72"/>
    <w:rsid w:val="00CB0664"/>
    <w:pPr>
      <w:spacing w:after="0" w:line="240" w:lineRule="auto"/>
    </w:pPr>
    <w:rPr>
      <w:color w:themeColor="text1" w:val="000000"/>
    </w:rPr>
    <w:tblPr>
      <w:tblStyleRowBandSize w:val="1"/>
      <w:tblStyleColBandSize w:val="1"/>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ListaColorida-nfase3" w:type="table">
    <w:name w:val="Colorful List Accent 3"/>
    <w:basedOn w:val="Tabelanormal"/>
    <w:uiPriority w:val="72"/>
    <w:rsid w:val="00CB0664"/>
    <w:pPr>
      <w:spacing w:after="0" w:line="240" w:lineRule="auto"/>
    </w:pPr>
    <w:rPr>
      <w:color w:themeColor="text1" w:val="000000"/>
    </w:rPr>
    <w:tblPr>
      <w:tblStyleRowBandSize w:val="1"/>
      <w:tblStyleColBandSize w:val="1"/>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ListaColorida-nfase4" w:type="table">
    <w:name w:val="Colorful List Accent 4"/>
    <w:basedOn w:val="Tabelanormal"/>
    <w:uiPriority w:val="72"/>
    <w:rsid w:val="00CB0664"/>
    <w:pPr>
      <w:spacing w:after="0" w:line="240" w:lineRule="auto"/>
    </w:pPr>
    <w:rPr>
      <w:color w:themeColor="text1" w:val="000000"/>
    </w:rPr>
    <w:tblPr>
      <w:tblStyleRowBandSize w:val="1"/>
      <w:tblStyleColBandSize w:val="1"/>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ListaColorida-nfase5" w:type="table">
    <w:name w:val="Colorful List Accent 5"/>
    <w:basedOn w:val="Tabelanormal"/>
    <w:uiPriority w:val="72"/>
    <w:rsid w:val="00CB0664"/>
    <w:pPr>
      <w:spacing w:after="0" w:line="240" w:lineRule="auto"/>
    </w:pPr>
    <w:rPr>
      <w:color w:themeColor="text1" w:val="000000"/>
    </w:rPr>
    <w:tblPr>
      <w:tblStyleRowBandSize w:val="1"/>
      <w:tblStyleColBandSize w:val="1"/>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ListaColorida-nfase6" w:type="table">
    <w:name w:val="Colorful List Accent 6"/>
    <w:basedOn w:val="Tabelanormal"/>
    <w:uiPriority w:val="72"/>
    <w:rsid w:val="00CB0664"/>
    <w:pPr>
      <w:spacing w:after="0" w:line="240" w:lineRule="auto"/>
    </w:pPr>
    <w:rPr>
      <w:color w:themeColor="text1" w:val="000000"/>
    </w:rPr>
    <w:tblPr>
      <w:tblStyleRowBandSize w:val="1"/>
      <w:tblStyleColBandSize w:val="1"/>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GradeColorida" w:type="table">
    <w:name w:val="Colorful Grid"/>
    <w:basedOn w:val="Tabela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GradeColorida-nfase1" w:type="table">
    <w:name w:val="Colorful Grid Accent 1"/>
    <w:basedOn w:val="Tabela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GradeColorida-nfase2" w:type="table">
    <w:name w:val="Colorful Grid Accent 2"/>
    <w:basedOn w:val="Tabela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GradeColorida-nfase3" w:type="table">
    <w:name w:val="Colorful Grid Accent 3"/>
    <w:basedOn w:val="Tabela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GradeColorida-nfase4" w:type="table">
    <w:name w:val="Colorful Grid Accent 4"/>
    <w:basedOn w:val="Tabela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GradeColorida-nfase5" w:type="table">
    <w:name w:val="Colorful Grid Accent 5"/>
    <w:basedOn w:val="Tabela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GradeColorida-nfase6" w:type="table">
    <w:name w:val="Colorful Grid Accent 6"/>
    <w:basedOn w:val="Tabela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33" Target="media/rId233.png" /><Relationship Type="http://schemas.openxmlformats.org/officeDocument/2006/relationships/image" Id="rId165" Target="media/rId165.png" /><Relationship Type="http://schemas.openxmlformats.org/officeDocument/2006/relationships/image" Id="rId96" Target="media/rId96.png" /><Relationship Type="http://schemas.openxmlformats.org/officeDocument/2006/relationships/image" Id="rId141" Target="media/rId141.png" /><Relationship Type="http://schemas.openxmlformats.org/officeDocument/2006/relationships/image" Id="rId145" Target="media/rId145.png" /><Relationship Type="http://schemas.openxmlformats.org/officeDocument/2006/relationships/image" Id="rId106" Target="media/rId106.png" /><Relationship Type="http://schemas.openxmlformats.org/officeDocument/2006/relationships/image" Id="rId59" Target="media/rId59.png" /><Relationship Type="http://schemas.openxmlformats.org/officeDocument/2006/relationships/image" Id="rId63" Target="media/rId63.png" /><Relationship Type="http://schemas.openxmlformats.org/officeDocument/2006/relationships/image" Id="rId68" Target="media/rId68.png" /><Relationship Type="http://schemas.openxmlformats.org/officeDocument/2006/relationships/image" Id="rId81" Target="media/rId81.png" /><Relationship Type="http://schemas.openxmlformats.org/officeDocument/2006/relationships/image" Id="rId73" Target="media/rId73.png" /><Relationship Type="http://schemas.openxmlformats.org/officeDocument/2006/relationships/image" Id="rId55" Target="media/rId55.png" /><Relationship Type="http://schemas.openxmlformats.org/officeDocument/2006/relationships/image" Id="rId158" Target="media/rId158.png" /><Relationship Type="http://schemas.openxmlformats.org/officeDocument/2006/relationships/image" Id="rId136" Target="media/rId136.png" /><Relationship Type="http://schemas.openxmlformats.org/officeDocument/2006/relationships/image" Id="rId132" Target="media/rId132.png" /><Relationship Type="http://schemas.openxmlformats.org/officeDocument/2006/relationships/image" Id="rId112" Target="media/rId112.png" /><Relationship Type="http://schemas.openxmlformats.org/officeDocument/2006/relationships/image" Id="rId120" Target="media/rId120.png" /><Relationship Type="http://schemas.openxmlformats.org/officeDocument/2006/relationships/image" Id="rId116" Target="media/rId116.png" /><Relationship Type="http://schemas.openxmlformats.org/officeDocument/2006/relationships/image" Id="rId124" Target="media/rId124.png" /><Relationship Type="http://schemas.openxmlformats.org/officeDocument/2006/relationships/image" Id="rId128" Target="media/rId128.png" /><Relationship Type="http://schemas.openxmlformats.org/officeDocument/2006/relationships/image" Id="rId90" Target="media/rId90.png" /><Relationship Type="http://schemas.openxmlformats.org/officeDocument/2006/relationships/image" Id="rId85" Target="media/rId85.png" /><Relationship Type="http://schemas.openxmlformats.org/officeDocument/2006/relationships/image" Id="rId153" Target="media/rId153.png" /><Relationship Type="http://schemas.openxmlformats.org/officeDocument/2006/relationships/image" Id="rId453" Target="media/rId453.png" /><Relationship Type="http://schemas.openxmlformats.org/officeDocument/2006/relationships/image" Id="rId483" Target="media/rId483.png" /><Relationship Type="http://schemas.openxmlformats.org/officeDocument/2006/relationships/image" Id="rId458" Target="media/rId458.png" /><Relationship Type="http://schemas.openxmlformats.org/officeDocument/2006/relationships/image" Id="rId462" Target="media/rId462.png" /><Relationship Type="http://schemas.openxmlformats.org/officeDocument/2006/relationships/image" Id="rId467" Target="media/rId467.png" /><Relationship Type="http://schemas.openxmlformats.org/officeDocument/2006/relationships/image" Id="rId472" Target="media/rId472.png" /><Relationship Type="http://schemas.openxmlformats.org/officeDocument/2006/relationships/image" Id="rId477" Target="media/rId477.png" /><Relationship Type="http://schemas.openxmlformats.org/officeDocument/2006/relationships/image" Id="rId441" Target="media/rId441.png" /><Relationship Type="http://schemas.openxmlformats.org/officeDocument/2006/relationships/image" Id="rId487" Target="media/rId487.png" /><Relationship Type="http://schemas.openxmlformats.org/officeDocument/2006/relationships/image" Id="rId221" Target="media/rId221.png" /><Relationship Type="http://schemas.openxmlformats.org/officeDocument/2006/relationships/image" Id="rId217" Target="media/rId217.png" /><Relationship Type="http://schemas.openxmlformats.org/officeDocument/2006/relationships/image" Id="rId421" Target="media/rId421.png" /><Relationship Type="http://schemas.openxmlformats.org/officeDocument/2006/relationships/image" Id="rId446" Target="media/rId446.png" /><Relationship Type="http://schemas.openxmlformats.org/officeDocument/2006/relationships/image" Id="rId385" Target="media/rId385.png" /><Relationship Type="http://schemas.openxmlformats.org/officeDocument/2006/relationships/image" Id="rId389" Target="media/rId389.png" /><Relationship Type="http://schemas.openxmlformats.org/officeDocument/2006/relationships/image" Id="rId393" Target="media/rId393.png" /><Relationship Type="http://schemas.openxmlformats.org/officeDocument/2006/relationships/image" Id="rId398" Target="media/rId398.png" /><Relationship Type="http://schemas.openxmlformats.org/officeDocument/2006/relationships/image" Id="rId405" Target="media/rId405.png" /><Relationship Type="http://schemas.openxmlformats.org/officeDocument/2006/relationships/image" Id="rId409" Target="media/rId409.png" /><Relationship Type="http://schemas.openxmlformats.org/officeDocument/2006/relationships/image" Id="rId186" Target="media/rId186.png" /><Relationship Type="http://schemas.openxmlformats.org/officeDocument/2006/relationships/image" Id="rId239" Target="media/rId239.png" /><Relationship Type="http://schemas.openxmlformats.org/officeDocument/2006/relationships/image" Id="rId244" Target="media/rId244.png" /><Relationship Type="http://schemas.openxmlformats.org/officeDocument/2006/relationships/image" Id="rId302" Target="media/rId302.png" /><Relationship Type="http://schemas.openxmlformats.org/officeDocument/2006/relationships/image" Id="rId311" Target="media/rId311.png" /><Relationship Type="http://schemas.openxmlformats.org/officeDocument/2006/relationships/image" Id="rId267" Target="media/rId267.png" /><Relationship Type="http://schemas.openxmlformats.org/officeDocument/2006/relationships/image" Id="rId274" Target="media/rId274.png" /><Relationship Type="http://schemas.openxmlformats.org/officeDocument/2006/relationships/image" Id="rId281" Target="media/rId281.png" /><Relationship Type="http://schemas.openxmlformats.org/officeDocument/2006/relationships/image" Id="rId350" Target="media/rId350.png" /><Relationship Type="http://schemas.openxmlformats.org/officeDocument/2006/relationships/image" Id="rId358" Target="media/rId358.png" /><Relationship Type="http://schemas.openxmlformats.org/officeDocument/2006/relationships/image" Id="rId254" Target="media/rId254.png" /><Relationship Type="http://schemas.openxmlformats.org/officeDocument/2006/relationships/image" Id="rId258" Target="media/rId258.png" /><Relationship Type="http://schemas.openxmlformats.org/officeDocument/2006/relationships/image" Id="rId203" Target="media/rId203.png" /><Relationship Type="http://schemas.openxmlformats.org/officeDocument/2006/relationships/image" Id="rId226" Target="media/rId226.png" /><Relationship Type="http://schemas.openxmlformats.org/officeDocument/2006/relationships/image" Id="rId289" Target="media/rId289.png" /><Relationship Type="http://schemas.openxmlformats.org/officeDocument/2006/relationships/image" Id="rId320" Target="media/rId320.png" /><Relationship Type="http://schemas.openxmlformats.org/officeDocument/2006/relationships/image" Id="rId297" Target="media/rId297.png" /><Relationship Type="http://schemas.openxmlformats.org/officeDocument/2006/relationships/image" Id="rId195" Target="media/rId195.png" /><Relationship Type="http://schemas.openxmlformats.org/officeDocument/2006/relationships/image" Id="rId362" Target="media/rId362.png" /><Relationship Type="http://schemas.openxmlformats.org/officeDocument/2006/relationships/image" Id="rId212" Target="media/rId212.png" /><Relationship Type="http://schemas.openxmlformats.org/officeDocument/2006/relationships/image" Id="rId208" Target="media/rId208.png" /><Relationship Type="http://schemas.openxmlformats.org/officeDocument/2006/relationships/image" Id="rId371" Target="media/rId371.png" /><Relationship Type="http://schemas.openxmlformats.org/officeDocument/2006/relationships/image" Id="rId367" Target="media/rId367.png" /><Relationship Type="http://schemas.openxmlformats.org/officeDocument/2006/relationships/image" Id="rId375" Target="media/rId375.png" /><Relationship Type="http://schemas.openxmlformats.org/officeDocument/2006/relationships/image" Id="rId379" Target="media/rId379.png" /><Relationship Type="http://schemas.openxmlformats.org/officeDocument/2006/relationships/image" Id="rId431" Target="media/rId431.png" /><Relationship Type="http://schemas.openxmlformats.org/officeDocument/2006/relationships/image" Id="rId436" Target="media/rId436.png" /><Relationship Type="http://schemas.openxmlformats.org/officeDocument/2006/relationships/image" Id="rId416" Target="media/rId416.png" /><Relationship Type="http://schemas.openxmlformats.org/officeDocument/2006/relationships/image" Id="rId191" Target="media/rId191.png" /><Relationship Type="http://schemas.openxmlformats.org/officeDocument/2006/relationships/image" Id="rId426" Target="media/rId426.png" /><Relationship Type="http://schemas.openxmlformats.org/officeDocument/2006/relationships/image" Id="rId183" Target="media/rId183.png" /><Relationship Type="http://schemas.openxmlformats.org/officeDocument/2006/relationships/image" Id="rId347" Target="media/rId347.png" /><Relationship Type="http://schemas.openxmlformats.org/officeDocument/2006/relationships/image" Id="rId355" Target="media/rId355.png" /><Relationship Type="http://schemas.openxmlformats.org/officeDocument/2006/relationships/image" Id="rId402" Target="media/rId402.png" /><Relationship Type="http://schemas.openxmlformats.org/officeDocument/2006/relationships/image" Id="rId200" Target="media/rId200.png" /><Relationship Type="http://schemas.openxmlformats.org/officeDocument/2006/relationships/image" Id="rId236" Target="media/rId236.png" /><Relationship Type="http://schemas.openxmlformats.org/officeDocument/2006/relationships/image" Id="rId251" Target="media/rId251.png" /><Relationship Type="http://schemas.openxmlformats.org/officeDocument/2006/relationships/image" Id="rId264" Target="media/rId264.png" /><Relationship Type="http://schemas.openxmlformats.org/officeDocument/2006/relationships/image" Id="rId271" Target="media/rId271.png" /><Relationship Type="http://schemas.openxmlformats.org/officeDocument/2006/relationships/image" Id="rId278" Target="media/rId278.png" /><Relationship Type="http://schemas.openxmlformats.org/officeDocument/2006/relationships/image" Id="rId286" Target="media/rId286.png" /><Relationship Type="http://schemas.openxmlformats.org/officeDocument/2006/relationships/image" Id="rId294" Target="media/rId294.png" /><Relationship Type="http://schemas.openxmlformats.org/officeDocument/2006/relationships/image" Id="rId102" Target="media/rId102.png" /><Relationship Type="http://schemas.openxmlformats.org/officeDocument/2006/relationships/image" Id="rId149" Target="media/rId149.png" /><Relationship Type="http://schemas.openxmlformats.org/officeDocument/2006/relationships/image" Id="rId172" Target="media/rId172.jpg" /><Relationship Type="http://schemas.openxmlformats.org/officeDocument/2006/relationships/image" Id="rId176" Target="media/rId176.jpg" /><Relationship Type="http://schemas.openxmlformats.org/officeDocument/2006/relationships/image" Id="rId306" Target="media/rId306.png" /><Relationship Type="http://schemas.openxmlformats.org/officeDocument/2006/relationships/image" Id="rId315" Target="media/rId315.png" /><Relationship Type="http://schemas.openxmlformats.org/officeDocument/2006/relationships/image" Id="rId24" Target="media/rId24.png" /><Relationship Type="http://schemas.openxmlformats.org/officeDocument/2006/relationships/image" Id="rId342" Target="media/rId342.png" /><Relationship Type="http://schemas.openxmlformats.org/officeDocument/2006/relationships/image" Id="rId326" Target="media/rId326.png" /><Relationship Type="http://schemas.openxmlformats.org/officeDocument/2006/relationships/image" Id="rId330" Target="media/rId330.png" /><Relationship Type="http://schemas.openxmlformats.org/officeDocument/2006/relationships/image" Id="rId334" Target="media/rId334.png" /><Relationship Type="http://schemas.openxmlformats.org/officeDocument/2006/relationships/image" Id="rId338" Target="media/rId338.png" /><Relationship Type="http://schemas.openxmlformats.org/officeDocument/2006/relationships/hyperlink" Id="rId21" Target="Relat&#243;rio-de-Performance-ATM-do-SISCEAB---2025.docx" TargetMode="External" /><Relationship Type="http://schemas.openxmlformats.org/officeDocument/2006/relationships/hyperlink" Id="rId20" Target="Relat&#243;rio-de-Performance-ATM-do-SISCEAB---2025.pdf" TargetMode="External" /><Relationship Type="http://schemas.openxmlformats.org/officeDocument/2006/relationships/hyperlink" Id="rId23" Target="https://performance.decea.mil.br" TargetMode="External" /><Relationship Type="http://schemas.openxmlformats.org/officeDocument/2006/relationships/hyperlink" Id="rId170" Target="https://sirius.decea.mil.br/" TargetMode="External" /><Relationship Type="http://schemas.openxmlformats.org/officeDocument/2006/relationships/hyperlink" Id="rId36" Target="https://www.icao.int/global-air-navigation-plan-ganp" TargetMode="External" /></Relationships>
</file>

<file path=word/_rels/footnotes.xml.rels><?xml version="1.0" encoding="UTF-8"?><Relationships xmlns="http://schemas.openxmlformats.org/package/2006/relationships"><Relationship Type="http://schemas.openxmlformats.org/officeDocument/2006/relationships/hyperlink" Id="rId21" Target="Relat&#243;rio-de-Performance-ATM-do-SISCEAB---2025.docx" TargetMode="External" /><Relationship Type="http://schemas.openxmlformats.org/officeDocument/2006/relationships/hyperlink" Id="rId20" Target="Relat&#243;rio-de-Performance-ATM-do-SISCEAB---2025.pdf" TargetMode="External" /><Relationship Type="http://schemas.openxmlformats.org/officeDocument/2006/relationships/hyperlink" Id="rId23" Target="https://performance.decea.mil.br" TargetMode="External" /><Relationship Type="http://schemas.openxmlformats.org/officeDocument/2006/relationships/hyperlink" Id="rId170" Target="https://sirius.decea.mil.br/" TargetMode="External" /><Relationship Type="http://schemas.openxmlformats.org/officeDocument/2006/relationships/hyperlink" Id="rId36" Target="https://www.icao.int/global-air-navigation-plan-gan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Words>
  <Characters>136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Relatório de Performance ATM do SISCEAB - 2025</dc:title>
  <dc:creator>Comissão de Performance ATM</dc:creator>
  <dc:language>pt</dc:language>
  <cp:keywords/>
  <dcterms:created xsi:type="dcterms:W3CDTF">2026-07-02T17:58:28Z</dcterms:created>
  <dcterms:modified xsi:type="dcterms:W3CDTF">2026-07-02T17:58:28Z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ook">
    <vt:lpwstr/>
  </property>
  <property fmtid="{D5CDD505-2E9C-101B-9397-08002B2CF9AE}" pid="5" name="by-author">
    <vt:lpwstr/>
  </property>
  <property fmtid="{D5CDD505-2E9C-101B-9397-08002B2CF9AE}" pid="6" name="crossref">
    <vt:lpwstr/>
  </property>
  <property fmtid="{D5CDD505-2E9C-101B-9397-08002B2CF9AE}" pid="7" name="date">
    <vt:lpwstr>02 de julho de 2026</vt:lpwstr>
  </property>
  <property fmtid="{D5CDD505-2E9C-101B-9397-08002B2CF9AE}" pid="8" name="document_number">
    <vt:lpwstr>SISCEAB-ATM-2025</vt:lpwstr>
  </property>
  <property fmtid="{D5CDD505-2E9C-101B-9397-08002B2CF9AE}" pid="9" name="document_version">
    <vt:lpwstr>1</vt:lpwstr>
  </property>
  <property fmtid="{D5CDD505-2E9C-101B-9397-08002B2CF9AE}" pid="10" name="editor">
    <vt:lpwstr>visual</vt:lpwstr>
  </property>
  <property fmtid="{D5CDD505-2E9C-101B-9397-08002B2CF9AE}" pid="11" name="format">
    <vt:lpwstr/>
  </property>
  <property fmtid="{D5CDD505-2E9C-101B-9397-08002B2CF9AE}" pid="12" name="header-includes">
    <vt:lpwstr/>
  </property>
  <property fmtid="{D5CDD505-2E9C-101B-9397-08002B2CF9AE}" pid="13" name="include-after">
    <vt:lpwstr/>
  </property>
  <property fmtid="{D5CDD505-2E9C-101B-9397-08002B2CF9AE}" pid="14" name="include-before">
    <vt:lpwstr/>
  </property>
  <property fmtid="{D5CDD505-2E9C-101B-9397-08002B2CF9AE}" pid="15" name="labels">
    <vt:lpwstr/>
  </property>
  <property fmtid="{D5CDD505-2E9C-101B-9397-08002B2CF9AE}" pid="16" name="resources">
    <vt:lpwstr/>
  </property>
  <property fmtid="{D5CDD505-2E9C-101B-9397-08002B2CF9AE}" pid="17" name="subtitle">
    <vt:lpwstr>Análise anual do desempenho operacional</vt:lpwstr>
  </property>
  <property fmtid="{D5CDD505-2E9C-101B-9397-08002B2CF9AE}" pid="18" name="template-partials">
    <vt:lpwstr/>
  </property>
  <property fmtid="{D5CDD505-2E9C-101B-9397-08002B2CF9AE}" pid="19" name="title-block-show">
    <vt:lpwstr>True</vt:lpwstr>
  </property>
  <property fmtid="{D5CDD505-2E9C-101B-9397-08002B2CF9AE}" pid="20" name="toc-title">
    <vt:lpwstr>Sumário</vt:lpwstr>
  </property>
  <property fmtid="{D5CDD505-2E9C-101B-9397-08002B2CF9AE}" pid="21" name="type">
    <vt:lpwstr>Relatório</vt:lpwstr>
  </property>
</Properties>
</file>